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0CEC" w14:textId="32ED8003" w:rsidR="00190167" w:rsidRDefault="00190167" w:rsidP="00E81A91">
      <w:pPr>
        <w:pStyle w:val="Headline2"/>
      </w:pPr>
      <w:r>
        <w:t>C</w:t>
      </w:r>
      <w:r w:rsidRPr="008730EB">
        <w:t xml:space="preserve">ontinuing education </w:t>
      </w:r>
      <w:r>
        <w:t>(CE) information</w:t>
      </w:r>
      <w:r w:rsidRPr="008730EB">
        <w:t xml:space="preserve"> for credit</w:t>
      </w:r>
    </w:p>
    <w:p w14:paraId="3B7A8151" w14:textId="77777777" w:rsidR="00E81A91" w:rsidRPr="001D0E17" w:rsidRDefault="00E81A91" w:rsidP="00E81A91">
      <w:pPr>
        <w:pStyle w:val="Headline2"/>
        <w:rPr>
          <w:sz w:val="22"/>
          <w:szCs w:val="28"/>
        </w:rPr>
      </w:pPr>
    </w:p>
    <w:p w14:paraId="7913B41C" w14:textId="0D40423F" w:rsidR="00CB4569" w:rsidRDefault="00950E4E" w:rsidP="004329C1">
      <w:pPr>
        <w:pStyle w:val="BodyText1"/>
        <w:spacing w:line="240" w:lineRule="auto"/>
        <w:rPr>
          <w:b/>
          <w:bCs/>
          <w:color w:val="696969" w:themeColor="accent6"/>
          <w:sz w:val="22"/>
          <w:szCs w:val="22"/>
        </w:rPr>
      </w:pPr>
      <w:r w:rsidRPr="00950E4E">
        <w:rPr>
          <w:rFonts w:eastAsiaTheme="majorEastAsia" w:cstheme="majorBidi"/>
          <w:b/>
          <w:bCs/>
          <w:color w:val="01ADAB" w:themeColor="accent4"/>
          <w:sz w:val="28"/>
          <w:szCs w:val="28"/>
        </w:rPr>
        <w:t>Vizient PSO 2023 HRO and Safety Education Series - Conducting an effective cause analysis</w:t>
      </w:r>
    </w:p>
    <w:p w14:paraId="74373A56" w14:textId="5675355D" w:rsidR="00190167" w:rsidRPr="00AE30DB" w:rsidRDefault="00190167" w:rsidP="004329C1">
      <w:pPr>
        <w:pStyle w:val="BodyText1"/>
        <w:spacing w:line="240" w:lineRule="auto"/>
        <w:rPr>
          <w:color w:val="696969" w:themeColor="text2"/>
          <w:sz w:val="22"/>
          <w:szCs w:val="22"/>
        </w:rPr>
      </w:pPr>
      <w:r w:rsidRPr="42B86C27">
        <w:rPr>
          <w:b/>
          <w:bCs/>
          <w:color w:val="696969" w:themeColor="accent6"/>
          <w:sz w:val="22"/>
          <w:szCs w:val="22"/>
        </w:rPr>
        <w:t>Activity date:</w:t>
      </w:r>
      <w:r w:rsidRPr="42B86C27">
        <w:rPr>
          <w:color w:val="696969" w:themeColor="accent6"/>
          <w:sz w:val="22"/>
          <w:szCs w:val="22"/>
        </w:rPr>
        <w:t xml:space="preserve"> </w:t>
      </w:r>
      <w:r w:rsidR="00950E4E">
        <w:rPr>
          <w:noProof/>
          <w:color w:val="696969" w:themeColor="accent6"/>
          <w:sz w:val="22"/>
          <w:szCs w:val="22"/>
        </w:rPr>
        <w:t>06/20/2023</w:t>
      </w:r>
    </w:p>
    <w:p w14:paraId="05C5E6FD" w14:textId="77777777" w:rsidR="00190167" w:rsidRDefault="00190167" w:rsidP="00AE30DB">
      <w:pPr>
        <w:pStyle w:val="BodyText1"/>
        <w:spacing w:after="0" w:line="240" w:lineRule="auto"/>
        <w:rPr>
          <w:b/>
          <w:bCs/>
          <w:color w:val="696969" w:themeColor="text2"/>
          <w:sz w:val="22"/>
          <w:szCs w:val="22"/>
        </w:rPr>
      </w:pPr>
    </w:p>
    <w:p w14:paraId="143B2133" w14:textId="66564FD4" w:rsidR="00190167" w:rsidRPr="00AE30DB" w:rsidRDefault="00190167" w:rsidP="00AE30DB">
      <w:pPr>
        <w:pStyle w:val="BodyText1"/>
        <w:spacing w:after="0" w:line="240" w:lineRule="auto"/>
        <w:rPr>
          <w:color w:val="696969" w:themeColor="text2"/>
          <w:sz w:val="22"/>
          <w:szCs w:val="22"/>
        </w:rPr>
      </w:pPr>
      <w:r w:rsidRPr="00AE30DB">
        <w:rPr>
          <w:b/>
          <w:bCs/>
          <w:color w:val="696969" w:themeColor="text2"/>
          <w:sz w:val="22"/>
          <w:szCs w:val="22"/>
        </w:rPr>
        <w:t>Course director:</w:t>
      </w:r>
      <w:r w:rsidRPr="00AE30DB">
        <w:rPr>
          <w:color w:val="696969" w:themeColor="text2"/>
          <w:sz w:val="22"/>
          <w:szCs w:val="22"/>
        </w:rPr>
        <w:t xml:space="preserve"> </w:t>
      </w:r>
      <w:r w:rsidRPr="000D2292">
        <w:rPr>
          <w:color w:val="696969" w:themeColor="text2"/>
          <w:sz w:val="22"/>
          <w:szCs w:val="22"/>
        </w:rPr>
        <w:t>Ellen Flynn</w:t>
      </w:r>
      <w:r w:rsidR="000D2292" w:rsidRPr="00FC5A4A">
        <w:rPr>
          <w:rFonts w:eastAsia="Times New Roman"/>
          <w:sz w:val="22"/>
          <w:szCs w:val="22"/>
          <w:shd w:val="clear" w:color="auto" w:fill="FFFFFF"/>
        </w:rPr>
        <w:t>, RN, MBA, JD, CPPS</w:t>
      </w:r>
    </w:p>
    <w:p w14:paraId="3B75583A" w14:textId="77777777" w:rsidR="00190167" w:rsidRDefault="00190167" w:rsidP="00AE30DB">
      <w:pPr>
        <w:pStyle w:val="BodyText1"/>
        <w:spacing w:after="0" w:line="240" w:lineRule="auto"/>
        <w:rPr>
          <w:color w:val="595959" w:themeColor="text1" w:themeTint="A6"/>
          <w:sz w:val="22"/>
          <w:szCs w:val="22"/>
        </w:rPr>
      </w:pPr>
    </w:p>
    <w:p w14:paraId="1FC6737A" w14:textId="77777777" w:rsidR="00190167" w:rsidRPr="00AE30DB" w:rsidRDefault="00190167" w:rsidP="00AE30DB">
      <w:pPr>
        <w:pStyle w:val="BodyText1"/>
        <w:spacing w:after="0" w:line="240" w:lineRule="auto"/>
        <w:rPr>
          <w:color w:val="595959" w:themeColor="text1" w:themeTint="A6"/>
          <w:sz w:val="22"/>
          <w:szCs w:val="22"/>
        </w:rPr>
      </w:pPr>
      <w:r w:rsidRPr="00AE30DB">
        <w:rPr>
          <w:color w:val="595959" w:themeColor="text1" w:themeTint="A6"/>
          <w:sz w:val="22"/>
          <w:szCs w:val="22"/>
        </w:rPr>
        <w:t>Vizient is committed to complying with the criteria set forth by the accrediting agencies in order to provide this quality activity. To receive credit for this educational activity, you must successfully complete all activity requirements.</w:t>
      </w:r>
    </w:p>
    <w:p w14:paraId="1B48D0F6" w14:textId="77777777" w:rsidR="00190167" w:rsidRPr="00927A00" w:rsidRDefault="00190167" w:rsidP="00AE30DB">
      <w:pPr>
        <w:rPr>
          <w:rFonts w:cs="Arial"/>
          <w:szCs w:val="20"/>
        </w:rPr>
      </w:pPr>
    </w:p>
    <w:p w14:paraId="53852556" w14:textId="77777777" w:rsidR="00190167" w:rsidRPr="00AE30DB" w:rsidRDefault="00190167" w:rsidP="00AE30DB">
      <w:pPr>
        <w:spacing w:after="120"/>
        <w:rPr>
          <w:rFonts w:cs="Arial"/>
          <w:b/>
          <w:bCs/>
          <w:color w:val="01ADAB"/>
          <w:sz w:val="22"/>
          <w:szCs w:val="18"/>
        </w:rPr>
      </w:pPr>
      <w:r w:rsidRPr="00AE30DB">
        <w:rPr>
          <w:rFonts w:cs="Arial"/>
          <w:b/>
          <w:bCs/>
          <w:color w:val="01ADAB"/>
          <w:sz w:val="28"/>
          <w:szCs w:val="22"/>
        </w:rPr>
        <w:t>Requirements</w:t>
      </w:r>
    </w:p>
    <w:p w14:paraId="35F64862" w14:textId="77777777" w:rsidR="00190167" w:rsidRPr="00AE30DB" w:rsidRDefault="00190167" w:rsidP="004A60B8">
      <w:pPr>
        <w:pStyle w:val="ListParagraph"/>
        <w:numPr>
          <w:ilvl w:val="0"/>
          <w:numId w:val="4"/>
        </w:numPr>
        <w:autoSpaceDE w:val="0"/>
        <w:autoSpaceDN w:val="0"/>
        <w:adjustRightInd w:val="0"/>
        <w:spacing w:after="0"/>
        <w:ind w:left="360"/>
        <w:contextualSpacing w:val="0"/>
        <w:rPr>
          <w:rFonts w:cs="Arial"/>
          <w:color w:val="595959" w:themeColor="text1" w:themeTint="A6"/>
          <w:sz w:val="22"/>
        </w:rPr>
      </w:pPr>
      <w:r w:rsidRPr="00AE30DB">
        <w:rPr>
          <w:rFonts w:cs="Arial"/>
          <w:color w:val="595959" w:themeColor="text1" w:themeTint="A6"/>
          <w:sz w:val="22"/>
        </w:rPr>
        <w:t>Attend the activity in its entirety.</w:t>
      </w:r>
    </w:p>
    <w:p w14:paraId="44439FE8" w14:textId="76914CC6" w:rsidR="00190167" w:rsidRPr="00AE30DB" w:rsidRDefault="00190167" w:rsidP="42B86C27">
      <w:pPr>
        <w:pStyle w:val="ListParagraph"/>
        <w:numPr>
          <w:ilvl w:val="0"/>
          <w:numId w:val="4"/>
        </w:numPr>
        <w:autoSpaceDE w:val="0"/>
        <w:autoSpaceDN w:val="0"/>
        <w:adjustRightInd w:val="0"/>
        <w:spacing w:after="0"/>
        <w:ind w:left="360"/>
        <w:rPr>
          <w:rFonts w:cs="Arial"/>
          <w:color w:val="595959" w:themeColor="text1" w:themeTint="A6"/>
          <w:sz w:val="22"/>
        </w:rPr>
      </w:pPr>
      <w:r w:rsidRPr="42B86C27">
        <w:rPr>
          <w:rFonts w:cs="Arial"/>
          <w:color w:val="595959" w:themeColor="text1" w:themeTint="A6"/>
          <w:sz w:val="22"/>
        </w:rPr>
        <w:t xml:space="preserve">Complete the evaluation by </w:t>
      </w:r>
      <w:r w:rsidR="00950E4E">
        <w:rPr>
          <w:rFonts w:cs="Arial"/>
          <w:b/>
          <w:bCs/>
          <w:noProof/>
          <w:color w:val="FF4E00" w:themeColor="accent1"/>
          <w:sz w:val="22"/>
        </w:rPr>
        <w:t xml:space="preserve">August 04, 2023.  </w:t>
      </w:r>
      <w:r w:rsidRPr="42B86C27">
        <w:rPr>
          <w:rFonts w:cs="Arial"/>
          <w:color w:val="595959" w:themeColor="text1" w:themeTint="A6"/>
          <w:sz w:val="22"/>
        </w:rPr>
        <w:t>You will receive a separate follow-up email with the link to the evaluation and the instructions on how to obtain CE credit.</w:t>
      </w:r>
    </w:p>
    <w:p w14:paraId="715A6BFB" w14:textId="77777777" w:rsidR="00190167" w:rsidRPr="00AE30DB" w:rsidRDefault="00190167" w:rsidP="00AE30DB">
      <w:pPr>
        <w:rPr>
          <w:rFonts w:cs="Arial"/>
          <w:bCs/>
          <w:color w:val="595959" w:themeColor="text1" w:themeTint="A6"/>
          <w:sz w:val="22"/>
          <w:szCs w:val="22"/>
        </w:rPr>
      </w:pPr>
    </w:p>
    <w:p w14:paraId="34ED812F" w14:textId="77777777" w:rsidR="00190167" w:rsidRPr="00AE30DB" w:rsidRDefault="00190167" w:rsidP="00AE30DB">
      <w:pPr>
        <w:rPr>
          <w:rFonts w:cs="Arial"/>
          <w:color w:val="595959" w:themeColor="text1" w:themeTint="A6"/>
          <w:sz w:val="22"/>
          <w:szCs w:val="22"/>
        </w:rPr>
      </w:pPr>
      <w:r w:rsidRPr="00AE30DB">
        <w:rPr>
          <w:rFonts w:cs="Arial"/>
          <w:color w:val="595959" w:themeColor="text1" w:themeTint="A6"/>
          <w:sz w:val="22"/>
          <w:szCs w:val="22"/>
        </w:rPr>
        <w:t>Upon successful completion of the activity requirements, you will be able to print your CE certificate (with the exception of pharmacists and pharmacy technicians.)</w:t>
      </w:r>
    </w:p>
    <w:p w14:paraId="1681AB70" w14:textId="77777777" w:rsidR="00190167" w:rsidRPr="000211DF" w:rsidRDefault="00190167" w:rsidP="00AE30DB">
      <w:pPr>
        <w:rPr>
          <w:rFonts w:cs="Arial"/>
          <w:szCs w:val="20"/>
        </w:rPr>
      </w:pPr>
    </w:p>
    <w:p w14:paraId="079AA67B" w14:textId="77777777" w:rsidR="00190167" w:rsidRPr="00AE30DB" w:rsidRDefault="00190167" w:rsidP="00AE30DB">
      <w:pPr>
        <w:spacing w:after="120"/>
        <w:rPr>
          <w:rFonts w:cs="Arial"/>
          <w:b/>
          <w:color w:val="01ADAB"/>
          <w:sz w:val="28"/>
          <w:szCs w:val="28"/>
        </w:rPr>
      </w:pPr>
      <w:r w:rsidRPr="00AE30DB">
        <w:rPr>
          <w:rFonts w:cs="Arial"/>
          <w:b/>
          <w:color w:val="01ADAB"/>
          <w:sz w:val="28"/>
          <w:szCs w:val="28"/>
        </w:rPr>
        <w:t>Learning objectives</w:t>
      </w:r>
    </w:p>
    <w:p w14:paraId="52F17867" w14:textId="77777777" w:rsidR="00190167" w:rsidRDefault="00190167" w:rsidP="004329C1">
      <w:pPr>
        <w:rPr>
          <w:rFonts w:eastAsia="Calibri" w:cs="Arial"/>
          <w:color w:val="595959" w:themeColor="text1" w:themeTint="A6"/>
          <w:sz w:val="22"/>
        </w:rPr>
      </w:pPr>
      <w:r w:rsidRPr="004329C1">
        <w:rPr>
          <w:rFonts w:eastAsia="Calibri" w:cs="Arial"/>
          <w:color w:val="595959" w:themeColor="text1" w:themeTint="A6"/>
          <w:sz w:val="22"/>
        </w:rPr>
        <w:t xml:space="preserve">At the conclusion of this activity, participants should be able to: </w:t>
      </w:r>
    </w:p>
    <w:p w14:paraId="14A4D858" w14:textId="77777777" w:rsidR="00190167" w:rsidRDefault="00190167" w:rsidP="00566D60">
      <w:pPr>
        <w:rPr>
          <w:rFonts w:eastAsia="Calibri" w:cs="Arial"/>
          <w:color w:val="595959" w:themeColor="text1" w:themeTint="A6"/>
          <w:sz w:val="22"/>
        </w:rPr>
      </w:pPr>
    </w:p>
    <w:p w14:paraId="3C996FEA" w14:textId="77777777" w:rsidR="00BA39D3" w:rsidRPr="00BA39D3" w:rsidRDefault="00BA39D3" w:rsidP="00BA39D3">
      <w:pPr>
        <w:pStyle w:val="ListParagraph"/>
        <w:numPr>
          <w:ilvl w:val="0"/>
          <w:numId w:val="11"/>
        </w:numPr>
        <w:rPr>
          <w:rFonts w:eastAsia="Calibri" w:cs="Arial"/>
          <w:noProof/>
          <w:color w:val="595959" w:themeColor="text1" w:themeTint="A6"/>
          <w:sz w:val="22"/>
        </w:rPr>
      </w:pPr>
      <w:r w:rsidRPr="00BA39D3">
        <w:rPr>
          <w:rFonts w:eastAsia="Calibri" w:cs="Arial"/>
          <w:noProof/>
          <w:color w:val="595959" w:themeColor="text1" w:themeTint="A6"/>
          <w:sz w:val="22"/>
        </w:rPr>
        <w:t>Discuss the process organizations use to prioritize their events for improvement and determine if further analysis in needed.</w:t>
      </w:r>
    </w:p>
    <w:p w14:paraId="656738AD" w14:textId="77777777" w:rsidR="00BA39D3" w:rsidRPr="00BA39D3" w:rsidRDefault="00BA39D3" w:rsidP="00BA39D3">
      <w:pPr>
        <w:pStyle w:val="ListParagraph"/>
        <w:numPr>
          <w:ilvl w:val="0"/>
          <w:numId w:val="11"/>
        </w:numPr>
        <w:rPr>
          <w:rFonts w:eastAsia="Calibri" w:cs="Arial"/>
          <w:noProof/>
          <w:color w:val="595959" w:themeColor="text1" w:themeTint="A6"/>
          <w:sz w:val="22"/>
        </w:rPr>
      </w:pPr>
      <w:r w:rsidRPr="00BA39D3">
        <w:rPr>
          <w:rFonts w:eastAsia="Calibri" w:cs="Arial"/>
          <w:noProof/>
          <w:color w:val="595959" w:themeColor="text1" w:themeTint="A6"/>
          <w:sz w:val="22"/>
        </w:rPr>
        <w:t>Discuss how organizations select the type of cause analysis to conduct.</w:t>
      </w:r>
    </w:p>
    <w:p w14:paraId="43F6286D" w14:textId="77777777" w:rsidR="00BA39D3" w:rsidRPr="00BA39D3" w:rsidRDefault="00BA39D3" w:rsidP="00BA39D3">
      <w:pPr>
        <w:pStyle w:val="ListParagraph"/>
        <w:numPr>
          <w:ilvl w:val="0"/>
          <w:numId w:val="11"/>
        </w:numPr>
        <w:rPr>
          <w:rFonts w:eastAsia="Calibri" w:cs="Arial"/>
          <w:noProof/>
          <w:color w:val="595959" w:themeColor="text1" w:themeTint="A6"/>
          <w:sz w:val="22"/>
        </w:rPr>
      </w:pPr>
      <w:r w:rsidRPr="00BA39D3">
        <w:rPr>
          <w:rFonts w:eastAsia="Calibri" w:cs="Arial"/>
          <w:noProof/>
          <w:color w:val="595959" w:themeColor="text1" w:themeTint="A6"/>
          <w:sz w:val="22"/>
        </w:rPr>
        <w:t>Describe the process for disseminating learnings and action plans across an organization or health system.</w:t>
      </w:r>
    </w:p>
    <w:p w14:paraId="5579C6CC" w14:textId="77777777" w:rsidR="00BA39D3" w:rsidRPr="00BA39D3" w:rsidRDefault="00BA39D3" w:rsidP="00BA39D3">
      <w:pPr>
        <w:pStyle w:val="ListParagraph"/>
        <w:numPr>
          <w:ilvl w:val="0"/>
          <w:numId w:val="11"/>
        </w:numPr>
        <w:rPr>
          <w:rFonts w:eastAsia="Calibri" w:cs="Arial"/>
          <w:noProof/>
          <w:color w:val="595959" w:themeColor="text1" w:themeTint="A6"/>
          <w:sz w:val="22"/>
        </w:rPr>
      </w:pPr>
      <w:r w:rsidRPr="00BA39D3">
        <w:rPr>
          <w:rFonts w:eastAsia="Calibri" w:cs="Arial"/>
          <w:noProof/>
          <w:color w:val="595959" w:themeColor="text1" w:themeTint="A6"/>
          <w:sz w:val="22"/>
        </w:rPr>
        <w:t>Describe how organizations develop, monitor, and oversee action plans to ensure their effectiveness and sustained improvement.</w:t>
      </w:r>
    </w:p>
    <w:p w14:paraId="360DA6AC" w14:textId="3AB76629" w:rsidR="00190167" w:rsidRDefault="00190167" w:rsidP="00BA39D3">
      <w:pPr>
        <w:pStyle w:val="ListParagraph"/>
        <w:spacing w:after="0"/>
        <w:ind w:left="720" w:firstLine="0"/>
        <w:rPr>
          <w:rFonts w:eastAsia="Calibri" w:cs="Arial"/>
          <w:noProof/>
          <w:color w:val="595959" w:themeColor="text1" w:themeTint="A6"/>
          <w:sz w:val="22"/>
        </w:rPr>
      </w:pPr>
    </w:p>
    <w:p w14:paraId="323A867E" w14:textId="77777777" w:rsidR="000D4275" w:rsidRPr="000D4275" w:rsidRDefault="000D4275" w:rsidP="000D4275"/>
    <w:p w14:paraId="44BFDD3D" w14:textId="77777777" w:rsidR="00190167" w:rsidRPr="00AE30DB" w:rsidRDefault="00190167" w:rsidP="00AE30DB">
      <w:pPr>
        <w:spacing w:after="160"/>
        <w:rPr>
          <w:highlight w:val="yellow"/>
        </w:rPr>
      </w:pPr>
      <w:r w:rsidRPr="00AE30DB">
        <w:rPr>
          <w:rFonts w:eastAsia="Calibri" w:cs="Arial"/>
          <w:b/>
          <w:bCs/>
          <w:color w:val="01ADAB"/>
          <w:sz w:val="28"/>
          <w:szCs w:val="28"/>
        </w:rPr>
        <w:t>Joint Accreditation Statement</w:t>
      </w:r>
    </w:p>
    <w:p w14:paraId="0F975550" w14:textId="77777777" w:rsidR="00190167" w:rsidRPr="00524EB3" w:rsidRDefault="00190167" w:rsidP="00AE30DB">
      <w:pPr>
        <w:rPr>
          <w:highlight w:val="yellow"/>
        </w:rPr>
      </w:pPr>
      <w:r w:rsidRPr="000211DF">
        <w:rPr>
          <w:rFonts w:cs="Arial"/>
          <w:noProof/>
          <w:szCs w:val="20"/>
        </w:rPr>
        <w:drawing>
          <wp:anchor distT="0" distB="0" distL="114300" distR="114300" simplePos="0" relativeHeight="251660288" behindDoc="0" locked="0" layoutInCell="1" allowOverlap="1" wp14:anchorId="252A8CD7" wp14:editId="6C69E374">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B0A3F9" w14:textId="77777777" w:rsidR="00190167" w:rsidRDefault="00190167" w:rsidP="00AE30DB">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28F4CFF" w14:textId="77777777" w:rsidR="00190167" w:rsidRDefault="00190167" w:rsidP="00AE30DB">
      <w:pPr>
        <w:rPr>
          <w:rFonts w:cs="Arial"/>
          <w:color w:val="595959" w:themeColor="text1" w:themeTint="A6"/>
          <w:szCs w:val="20"/>
        </w:rPr>
      </w:pPr>
    </w:p>
    <w:p w14:paraId="4E897554" w14:textId="77777777" w:rsidR="00190167" w:rsidRDefault="00190167" w:rsidP="00AE30DB">
      <w:pPr>
        <w:rPr>
          <w:rFonts w:cs="Arial"/>
          <w:color w:val="595959" w:themeColor="text1" w:themeTint="A6"/>
          <w:szCs w:val="20"/>
        </w:rPr>
      </w:pPr>
    </w:p>
    <w:p w14:paraId="0A66F52F" w14:textId="77777777" w:rsidR="00190167" w:rsidRPr="00451C91" w:rsidRDefault="00190167" w:rsidP="00AE30DB">
      <w:pPr>
        <w:autoSpaceDE w:val="0"/>
        <w:autoSpaceDN w:val="0"/>
        <w:rPr>
          <w:rFonts w:cs="Arial"/>
          <w:color w:val="595959" w:themeColor="text1" w:themeTint="A6"/>
        </w:rPr>
      </w:pPr>
    </w:p>
    <w:p w14:paraId="2AD8B224" w14:textId="77777777" w:rsidR="00190167" w:rsidRPr="00AE30DB" w:rsidRDefault="00190167" w:rsidP="00AE30DB">
      <w:pPr>
        <w:rPr>
          <w:rFonts w:cs="Arial"/>
          <w:b/>
          <w:color w:val="595959" w:themeColor="text1" w:themeTint="A6"/>
          <w:sz w:val="22"/>
          <w:szCs w:val="22"/>
          <w:u w:val="single"/>
        </w:rPr>
      </w:pPr>
    </w:p>
    <w:p w14:paraId="5636CD0B" w14:textId="77777777" w:rsidR="00190167" w:rsidRPr="00AE30DB" w:rsidRDefault="00190167" w:rsidP="00AE30DB">
      <w:pPr>
        <w:spacing w:after="160"/>
        <w:rPr>
          <w:highlight w:val="yellow"/>
        </w:rPr>
      </w:pPr>
      <w:r w:rsidRPr="00AE30DB">
        <w:rPr>
          <w:rFonts w:eastAsia="Calibri" w:cs="Arial"/>
          <w:b/>
          <w:bCs/>
          <w:color w:val="01ADAB"/>
          <w:sz w:val="28"/>
          <w:szCs w:val="28"/>
        </w:rPr>
        <w:t>Designation Statement(s)</w:t>
      </w:r>
    </w:p>
    <w:p w14:paraId="0F650128" w14:textId="77777777" w:rsidR="00190167" w:rsidRPr="00AE30DB" w:rsidRDefault="00190167" w:rsidP="00190167">
      <w:pPr>
        <w:pStyle w:val="BodyText1"/>
        <w:spacing w:after="0" w:line="240" w:lineRule="auto"/>
        <w:rPr>
          <w:b/>
          <w:bCs/>
          <w:color w:val="FF4E00" w:themeColor="accent1"/>
          <w:sz w:val="24"/>
          <w:szCs w:val="24"/>
        </w:rPr>
      </w:pPr>
      <w:r w:rsidRPr="00AE30DB">
        <w:rPr>
          <w:b/>
          <w:bCs/>
          <w:color w:val="FF4E00" w:themeColor="accent1"/>
          <w:sz w:val="24"/>
          <w:szCs w:val="24"/>
        </w:rPr>
        <w:t>Nurses (CNE)</w:t>
      </w:r>
    </w:p>
    <w:p w14:paraId="30EA0D0F" w14:textId="77777777" w:rsidR="00190167" w:rsidRPr="00AE30DB" w:rsidRDefault="00190167" w:rsidP="00190167">
      <w:pPr>
        <w:pStyle w:val="BodyText1"/>
        <w:spacing w:after="0" w:line="240" w:lineRule="auto"/>
        <w:rPr>
          <w:sz w:val="22"/>
          <w:szCs w:val="22"/>
        </w:rPr>
      </w:pPr>
      <w:r w:rsidRPr="00AE30DB">
        <w:rPr>
          <w:sz w:val="22"/>
          <w:szCs w:val="22"/>
        </w:rPr>
        <w:lastRenderedPageBreak/>
        <w:t xml:space="preserve">This activity is designated for </w:t>
      </w:r>
      <w:r w:rsidRPr="0044141B">
        <w:rPr>
          <w:b/>
          <w:bCs/>
          <w:sz w:val="22"/>
          <w:szCs w:val="22"/>
        </w:rPr>
        <w:t>1.</w:t>
      </w:r>
      <w:r>
        <w:rPr>
          <w:b/>
          <w:bCs/>
          <w:sz w:val="22"/>
          <w:szCs w:val="22"/>
        </w:rPr>
        <w:t>00</w:t>
      </w:r>
      <w:r>
        <w:rPr>
          <w:sz w:val="22"/>
          <w:szCs w:val="22"/>
        </w:rPr>
        <w:t xml:space="preserve"> </w:t>
      </w:r>
      <w:r w:rsidRPr="00AE30DB">
        <w:rPr>
          <w:sz w:val="22"/>
          <w:szCs w:val="22"/>
        </w:rPr>
        <w:t>contact hours.</w:t>
      </w:r>
    </w:p>
    <w:p w14:paraId="1E03D4C3" w14:textId="77777777" w:rsidR="00190167" w:rsidRPr="00AE30DB" w:rsidRDefault="00190167" w:rsidP="00190167">
      <w:pPr>
        <w:pStyle w:val="BodyText1"/>
        <w:spacing w:after="0" w:line="240" w:lineRule="auto"/>
        <w:rPr>
          <w:sz w:val="22"/>
          <w:szCs w:val="22"/>
        </w:rPr>
      </w:pPr>
    </w:p>
    <w:p w14:paraId="14060E4A" w14:textId="77777777" w:rsidR="00190167" w:rsidRPr="00AE30DB" w:rsidRDefault="00190167" w:rsidP="00190167">
      <w:pPr>
        <w:pStyle w:val="BodyText1"/>
        <w:spacing w:after="0" w:line="240" w:lineRule="auto"/>
        <w:rPr>
          <w:sz w:val="22"/>
          <w:szCs w:val="22"/>
        </w:rPr>
      </w:pPr>
      <w:r w:rsidRPr="00AE30DB">
        <w:rPr>
          <w:sz w:val="22"/>
          <w:szCs w:val="22"/>
        </w:rPr>
        <w:t xml:space="preserve">Vizient, Inc. is approved by the California Board of Registered Nursing, Provider Number CEP12580, for </w:t>
      </w:r>
      <w:r w:rsidRPr="0044141B">
        <w:rPr>
          <w:b/>
          <w:bCs/>
          <w:sz w:val="22"/>
          <w:szCs w:val="22"/>
        </w:rPr>
        <w:t>1.</w:t>
      </w:r>
      <w:r>
        <w:rPr>
          <w:b/>
          <w:bCs/>
          <w:sz w:val="22"/>
          <w:szCs w:val="22"/>
        </w:rPr>
        <w:t>00</w:t>
      </w:r>
      <w:r w:rsidRPr="0044141B">
        <w:rPr>
          <w:b/>
          <w:bCs/>
          <w:sz w:val="22"/>
          <w:szCs w:val="22"/>
        </w:rPr>
        <w:t xml:space="preserve"> </w:t>
      </w:r>
      <w:r w:rsidRPr="00AE30DB">
        <w:rPr>
          <w:sz w:val="22"/>
          <w:szCs w:val="22"/>
        </w:rPr>
        <w:t>contact hours.</w:t>
      </w:r>
    </w:p>
    <w:p w14:paraId="205E7DBD" w14:textId="77777777" w:rsidR="00190167" w:rsidRPr="00AE30DB" w:rsidRDefault="00190167" w:rsidP="00190167">
      <w:pPr>
        <w:pStyle w:val="BodyText1"/>
        <w:spacing w:after="0" w:line="240" w:lineRule="auto"/>
        <w:rPr>
          <w:sz w:val="22"/>
          <w:szCs w:val="22"/>
        </w:rPr>
      </w:pPr>
    </w:p>
    <w:p w14:paraId="640A8649" w14:textId="77777777" w:rsidR="00190167" w:rsidRPr="00AE30DB" w:rsidRDefault="00190167" w:rsidP="00190167">
      <w:pPr>
        <w:pStyle w:val="BodyText1"/>
        <w:spacing w:after="0" w:line="240" w:lineRule="auto"/>
        <w:rPr>
          <w:b/>
          <w:bCs/>
          <w:color w:val="FF4E00" w:themeColor="accent1"/>
          <w:sz w:val="22"/>
          <w:szCs w:val="22"/>
        </w:rPr>
      </w:pPr>
      <w:r>
        <w:rPr>
          <w:b/>
          <w:bCs/>
          <w:color w:val="FF4E00" w:themeColor="accent1"/>
          <w:sz w:val="24"/>
          <w:szCs w:val="24"/>
        </w:rPr>
        <w:t>Pharmacists (CPE)</w:t>
      </w:r>
    </w:p>
    <w:p w14:paraId="02CE9B6E" w14:textId="77777777" w:rsidR="00190167" w:rsidRPr="00EA4885" w:rsidRDefault="00190167" w:rsidP="00190167">
      <w:pPr>
        <w:shd w:val="clear" w:color="auto" w:fill="FFFFFF"/>
        <w:rPr>
          <w:rFonts w:eastAsia="Times New Roman" w:cs="Arial"/>
          <w:color w:val="2F2F2F"/>
          <w:sz w:val="18"/>
          <w:szCs w:val="18"/>
        </w:rPr>
      </w:pPr>
      <w:r w:rsidRPr="00EA4885">
        <w:rPr>
          <w:rFonts w:eastAsia="Times New Roman" w:cs="Arial"/>
          <w:color w:val="696969"/>
          <w:sz w:val="22"/>
          <w:szCs w:val="22"/>
        </w:rPr>
        <w:t>Vizient, Inc. designates this activity for a maximum of for </w:t>
      </w:r>
      <w:r w:rsidRPr="00EA4885">
        <w:rPr>
          <w:rFonts w:eastAsia="Times New Roman" w:cs="Arial"/>
          <w:b/>
          <w:bCs/>
          <w:color w:val="696969" w:themeColor="text2"/>
          <w:sz w:val="22"/>
          <w:szCs w:val="22"/>
        </w:rPr>
        <w:t>1.00</w:t>
      </w:r>
      <w:r w:rsidRPr="00EA4885">
        <w:rPr>
          <w:rFonts w:eastAsia="Times New Roman" w:cs="Arial"/>
          <w:color w:val="696969" w:themeColor="text2"/>
          <w:sz w:val="22"/>
          <w:szCs w:val="22"/>
        </w:rPr>
        <w:t> </w:t>
      </w:r>
      <w:r w:rsidRPr="00EA4885">
        <w:rPr>
          <w:rFonts w:eastAsia="Times New Roman" w:cs="Arial"/>
          <w:color w:val="696969"/>
          <w:sz w:val="22"/>
          <w:szCs w:val="22"/>
        </w:rPr>
        <w:t>contact hour(s) for all pharmacists.</w:t>
      </w:r>
    </w:p>
    <w:p w14:paraId="4B2D7692" w14:textId="77777777" w:rsidR="00190167" w:rsidRDefault="00190167" w:rsidP="00190167">
      <w:pPr>
        <w:shd w:val="clear" w:color="auto" w:fill="FFFFFF"/>
        <w:rPr>
          <w:rFonts w:eastAsia="Times New Roman" w:cs="Arial"/>
          <w:b/>
          <w:bCs/>
          <w:color w:val="696969"/>
          <w:sz w:val="22"/>
          <w:szCs w:val="22"/>
        </w:rPr>
      </w:pPr>
    </w:p>
    <w:p w14:paraId="2A2A8DF1" w14:textId="533B2730" w:rsidR="00190167" w:rsidRPr="00EA4885" w:rsidRDefault="00190167" w:rsidP="00190167">
      <w:pPr>
        <w:shd w:val="clear" w:color="auto" w:fill="FFFFFF"/>
        <w:rPr>
          <w:rFonts w:eastAsia="Times New Roman" w:cs="Arial"/>
          <w:color w:val="2F2F2F"/>
          <w:sz w:val="18"/>
          <w:szCs w:val="18"/>
        </w:rPr>
      </w:pPr>
      <w:r w:rsidRPr="00EA4885">
        <w:rPr>
          <w:rFonts w:eastAsia="Times New Roman" w:cs="Arial"/>
          <w:b/>
          <w:bCs/>
          <w:color w:val="696969"/>
          <w:sz w:val="22"/>
          <w:szCs w:val="22"/>
        </w:rPr>
        <w:t>Universal Activity Number:</w:t>
      </w:r>
      <w:r w:rsidRPr="00EA4885">
        <w:rPr>
          <w:rFonts w:eastAsia="Times New Roman" w:cs="Arial"/>
          <w:color w:val="696969"/>
          <w:sz w:val="22"/>
          <w:szCs w:val="22"/>
        </w:rPr>
        <w:t> </w:t>
      </w:r>
      <w:r w:rsidR="00696BCD" w:rsidRPr="00696BCD">
        <w:rPr>
          <w:rFonts w:eastAsia="Times New Roman" w:cs="Arial"/>
          <w:color w:val="696969"/>
          <w:sz w:val="22"/>
          <w:szCs w:val="22"/>
        </w:rPr>
        <w:t>JA0006103-0000-23-068-L05-P</w:t>
      </w:r>
    </w:p>
    <w:p w14:paraId="3D942B4C" w14:textId="77777777" w:rsidR="00190167" w:rsidRPr="00AE30DB" w:rsidRDefault="00190167" w:rsidP="00190167">
      <w:pPr>
        <w:pStyle w:val="BodyText1"/>
        <w:spacing w:after="0" w:line="240" w:lineRule="auto"/>
        <w:rPr>
          <w:sz w:val="22"/>
          <w:szCs w:val="22"/>
        </w:rPr>
      </w:pPr>
    </w:p>
    <w:p w14:paraId="784DC6CA" w14:textId="77777777" w:rsidR="00190167" w:rsidRDefault="00190167" w:rsidP="00190167">
      <w:pPr>
        <w:pStyle w:val="BodyText1"/>
        <w:spacing w:after="0" w:line="240" w:lineRule="auto"/>
        <w:rPr>
          <w:b/>
          <w:bCs/>
          <w:color w:val="FF4E00" w:themeColor="accent1"/>
          <w:sz w:val="24"/>
          <w:szCs w:val="24"/>
        </w:rPr>
      </w:pPr>
      <w:r>
        <w:rPr>
          <w:b/>
          <w:bCs/>
          <w:color w:val="FF4E00" w:themeColor="accent1"/>
          <w:sz w:val="24"/>
          <w:szCs w:val="24"/>
        </w:rPr>
        <w:t>Physicians (CME)</w:t>
      </w:r>
    </w:p>
    <w:p w14:paraId="5AD03ED3" w14:textId="77777777" w:rsidR="00190167" w:rsidRPr="00AE30DB" w:rsidRDefault="00190167" w:rsidP="00190167">
      <w:pPr>
        <w:pStyle w:val="BodyText1"/>
        <w:spacing w:after="0" w:line="240" w:lineRule="auto"/>
        <w:rPr>
          <w:b/>
          <w:bCs/>
          <w:color w:val="FF4E00" w:themeColor="accent1"/>
          <w:sz w:val="24"/>
          <w:szCs w:val="24"/>
        </w:rPr>
      </w:pPr>
      <w:r w:rsidRPr="00E815A2">
        <w:rPr>
          <w:color w:val="595959"/>
          <w:sz w:val="22"/>
          <w:szCs w:val="22"/>
          <w:shd w:val="clear" w:color="auto" w:fill="FFFFFF"/>
        </w:rPr>
        <w:t>Vizient, Inc. designates this live activity for a maximum of </w:t>
      </w:r>
      <w:r w:rsidRPr="00B43983">
        <w:rPr>
          <w:b/>
          <w:bCs/>
          <w:color w:val="696969" w:themeColor="text2"/>
          <w:sz w:val="22"/>
          <w:szCs w:val="22"/>
          <w:shd w:val="clear" w:color="auto" w:fill="FFFFFF"/>
        </w:rPr>
        <w:t>1.00</w:t>
      </w:r>
      <w:r w:rsidRPr="00B43983">
        <w:rPr>
          <w:color w:val="696969" w:themeColor="text2"/>
          <w:sz w:val="22"/>
          <w:szCs w:val="22"/>
          <w:shd w:val="clear" w:color="auto" w:fill="FFFFFF"/>
        </w:rPr>
        <w:t> </w:t>
      </w:r>
      <w:r w:rsidRPr="00E815A2">
        <w:rPr>
          <w:i/>
          <w:iCs/>
          <w:color w:val="595959"/>
          <w:sz w:val="22"/>
          <w:szCs w:val="22"/>
          <w:shd w:val="clear" w:color="auto" w:fill="FFFFFF"/>
          <w:lang w:val="en"/>
        </w:rPr>
        <w:t>AMA PRA Category 1 Credit(s)</w:t>
      </w:r>
      <w:r w:rsidRPr="00E815A2">
        <w:rPr>
          <w:i/>
          <w:iCs/>
          <w:color w:val="595959"/>
          <w:sz w:val="17"/>
          <w:szCs w:val="17"/>
          <w:shd w:val="clear" w:color="auto" w:fill="FFFFFF"/>
          <w:vertAlign w:val="superscript"/>
          <w:lang w:val="en"/>
        </w:rPr>
        <w:t>™</w:t>
      </w:r>
      <w:r w:rsidRPr="00E815A2">
        <w:rPr>
          <w:i/>
          <w:iCs/>
          <w:color w:val="595959"/>
          <w:sz w:val="17"/>
          <w:szCs w:val="17"/>
          <w:shd w:val="clear" w:color="auto" w:fill="FFFFFF"/>
          <w:vertAlign w:val="subscript"/>
          <w:lang w:val="en"/>
        </w:rPr>
        <w:t>.</w:t>
      </w:r>
      <w:r w:rsidRPr="00E815A2">
        <w:rPr>
          <w:i/>
          <w:iCs/>
          <w:color w:val="595959"/>
          <w:sz w:val="17"/>
          <w:szCs w:val="17"/>
          <w:shd w:val="clear" w:color="auto" w:fill="FFFFFF"/>
          <w:vertAlign w:val="superscript"/>
          <w:lang w:val="en"/>
        </w:rPr>
        <w:t>  </w:t>
      </w:r>
      <w:r w:rsidRPr="00E815A2">
        <w:rPr>
          <w:color w:val="595959"/>
          <w:sz w:val="22"/>
          <w:szCs w:val="22"/>
          <w:shd w:val="clear" w:color="auto" w:fill="FFFFFF"/>
        </w:rPr>
        <w:t>Physicians should claim only the credit commensurate with the extent of their participation in the activity.</w:t>
      </w:r>
    </w:p>
    <w:p w14:paraId="0206FFD8" w14:textId="77777777" w:rsidR="00190167" w:rsidRDefault="00190167" w:rsidP="00190167">
      <w:pPr>
        <w:rPr>
          <w:rStyle w:val="Strong"/>
          <w:color w:val="FF4E00" w:themeColor="accent1"/>
          <w:sz w:val="24"/>
          <w:shd w:val="clear" w:color="auto" w:fill="FFFFFF"/>
        </w:rPr>
      </w:pPr>
    </w:p>
    <w:p w14:paraId="6191B71E" w14:textId="77777777" w:rsidR="00190167" w:rsidRPr="00AE30DB" w:rsidRDefault="00190167" w:rsidP="00190167">
      <w:pPr>
        <w:rPr>
          <w:rFonts w:cs="Arial"/>
          <w:b/>
          <w:bCs/>
          <w:color w:val="FF4E00" w:themeColor="accent1"/>
          <w:sz w:val="24"/>
        </w:rPr>
      </w:pPr>
      <w:r w:rsidRPr="00AE30DB">
        <w:rPr>
          <w:rStyle w:val="Strong"/>
          <w:color w:val="FF4E00" w:themeColor="accent1"/>
          <w:sz w:val="24"/>
          <w:shd w:val="clear" w:color="auto" w:fill="FFFFFF"/>
        </w:rPr>
        <w:t>Other Healthcare Professionals (</w:t>
      </w:r>
      <w:r w:rsidRPr="00AE30DB">
        <w:rPr>
          <w:rFonts w:cs="Arial"/>
          <w:b/>
          <w:bCs/>
          <w:color w:val="FF4E00" w:themeColor="accent1"/>
          <w:sz w:val="24"/>
        </w:rPr>
        <w:t>General CE Credit)</w:t>
      </w:r>
    </w:p>
    <w:p w14:paraId="2E2AD5D7" w14:textId="77777777" w:rsidR="00190167" w:rsidRPr="00AE30DB" w:rsidRDefault="00190167" w:rsidP="00190167">
      <w:pPr>
        <w:pStyle w:val="BodyText1"/>
        <w:spacing w:after="0" w:line="240" w:lineRule="auto"/>
        <w:rPr>
          <w:sz w:val="22"/>
          <w:szCs w:val="22"/>
        </w:rPr>
      </w:pPr>
      <w:r w:rsidRPr="00AE30DB">
        <w:rPr>
          <w:sz w:val="22"/>
          <w:szCs w:val="22"/>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C5A5EB7" w14:textId="77777777" w:rsidR="00190167" w:rsidRPr="00AE30DB" w:rsidRDefault="00190167" w:rsidP="00AE30DB">
      <w:pPr>
        <w:rPr>
          <w:rFonts w:eastAsia="Calibri" w:cs="Arial"/>
          <w:bCs/>
          <w:color w:val="696969" w:themeColor="accent6"/>
          <w:sz w:val="22"/>
          <w:szCs w:val="22"/>
        </w:rPr>
      </w:pPr>
    </w:p>
    <w:p w14:paraId="71F06280" w14:textId="77777777" w:rsidR="00190167" w:rsidRDefault="00190167" w:rsidP="00AE30DB">
      <w:pPr>
        <w:rPr>
          <w:rFonts w:cs="Arial"/>
          <w:b/>
          <w:bCs/>
          <w:color w:val="01ADAB" w:themeColor="accent4"/>
          <w:sz w:val="28"/>
          <w:szCs w:val="28"/>
        </w:rPr>
      </w:pPr>
      <w:r w:rsidRPr="00AE30DB">
        <w:rPr>
          <w:rFonts w:cs="Arial"/>
          <w:b/>
          <w:bCs/>
          <w:color w:val="01ADAB" w:themeColor="accent4"/>
          <w:sz w:val="28"/>
          <w:szCs w:val="28"/>
        </w:rPr>
        <w:t>Credit Reporting Instructions (</w:t>
      </w:r>
      <w:r w:rsidRPr="00BA39D3">
        <w:rPr>
          <w:rFonts w:cs="Arial"/>
          <w:b/>
          <w:bCs/>
          <w:color w:val="01ADAB" w:themeColor="accent4"/>
          <w:sz w:val="28"/>
          <w:szCs w:val="28"/>
          <w:u w:val="single"/>
        </w:rPr>
        <w:t>if applicable</w:t>
      </w:r>
      <w:r w:rsidRPr="00AE30DB">
        <w:rPr>
          <w:rFonts w:cs="Arial"/>
          <w:b/>
          <w:bCs/>
          <w:color w:val="01ADAB" w:themeColor="accent4"/>
          <w:sz w:val="28"/>
          <w:szCs w:val="28"/>
        </w:rPr>
        <w:t>)</w:t>
      </w:r>
    </w:p>
    <w:p w14:paraId="2DFFC867" w14:textId="77777777" w:rsidR="00190167" w:rsidRPr="00AE30DB" w:rsidRDefault="00190167" w:rsidP="00AE30DB">
      <w:pPr>
        <w:rPr>
          <w:rFonts w:cs="Arial"/>
          <w:color w:val="01ADAB" w:themeColor="accent4"/>
          <w:sz w:val="28"/>
          <w:szCs w:val="28"/>
        </w:rPr>
      </w:pPr>
    </w:p>
    <w:p w14:paraId="48B7F3A8" w14:textId="77777777" w:rsidR="00190167" w:rsidRPr="00AE30DB" w:rsidRDefault="00190167" w:rsidP="00275F4D">
      <w:pPr>
        <w:spacing w:after="120"/>
        <w:rPr>
          <w:rFonts w:cs="Arial"/>
          <w:color w:val="FF4E00" w:themeColor="accent1"/>
          <w:sz w:val="24"/>
        </w:rPr>
      </w:pPr>
      <w:r w:rsidRPr="00AE30DB">
        <w:rPr>
          <w:rFonts w:cs="Arial"/>
          <w:b/>
          <w:bCs/>
          <w:color w:val="FF4E00" w:themeColor="accent1"/>
          <w:sz w:val="24"/>
        </w:rPr>
        <w:t>Healthcare Executives (ACHE)</w:t>
      </w:r>
    </w:p>
    <w:p w14:paraId="540B3E82" w14:textId="77777777" w:rsidR="00190167" w:rsidRDefault="00190167" w:rsidP="00AE30DB">
      <w:pPr>
        <w:rPr>
          <w:rFonts w:cs="Arial"/>
          <w:color w:val="696969" w:themeColor="text2"/>
          <w:sz w:val="22"/>
          <w:szCs w:val="22"/>
        </w:rPr>
      </w:pPr>
      <w:r w:rsidRPr="00AE30DB">
        <w:rPr>
          <w:rFonts w:cs="Arial"/>
          <w:color w:val="696969" w:themeColor="text2"/>
          <w:sz w:val="22"/>
          <w:szCs w:val="22"/>
        </w:rPr>
        <w:t>Participants are responsible for maintaining a record of their ACHE Qualified Education hours. To self-report, participants should log into their MyACHE account and select ACHE Qualified Education Credit.</w:t>
      </w:r>
    </w:p>
    <w:p w14:paraId="4E69F032" w14:textId="77777777" w:rsidR="00190167" w:rsidRPr="00AE30DB" w:rsidRDefault="00190167" w:rsidP="00AE30DB">
      <w:pPr>
        <w:rPr>
          <w:rFonts w:cs="Arial"/>
          <w:color w:val="696969" w:themeColor="text2"/>
          <w:sz w:val="22"/>
          <w:szCs w:val="22"/>
        </w:rPr>
      </w:pPr>
    </w:p>
    <w:p w14:paraId="51308861" w14:textId="77777777" w:rsidR="00190167" w:rsidRPr="00AE30DB" w:rsidRDefault="00190167" w:rsidP="00275F4D">
      <w:pPr>
        <w:spacing w:after="120"/>
        <w:rPr>
          <w:rFonts w:cs="Arial"/>
          <w:color w:val="01ADAB" w:themeColor="accent4"/>
          <w:sz w:val="22"/>
          <w:szCs w:val="22"/>
        </w:rPr>
      </w:pPr>
      <w:r w:rsidRPr="00AE30DB">
        <w:rPr>
          <w:rFonts w:cs="Arial"/>
          <w:b/>
          <w:bCs/>
          <w:color w:val="FF4E00" w:themeColor="accent1"/>
          <w:sz w:val="24"/>
        </w:rPr>
        <w:t xml:space="preserve">Healthcare Quality Professionals (CPHQ) </w:t>
      </w:r>
    </w:p>
    <w:p w14:paraId="4DECBF63" w14:textId="77777777" w:rsidR="00190167" w:rsidRDefault="00190167" w:rsidP="00AE30DB">
      <w:pPr>
        <w:rPr>
          <w:rFonts w:cs="Arial"/>
          <w:color w:val="696969" w:themeColor="text2"/>
          <w:sz w:val="22"/>
          <w:szCs w:val="22"/>
        </w:rPr>
      </w:pPr>
      <w:r w:rsidRPr="00AE30DB">
        <w:rPr>
          <w:rFonts w:cs="Arial"/>
          <w:color w:val="696969" w:themeColor="text2"/>
          <w:sz w:val="22"/>
          <w:szCs w:val="22"/>
        </w:rPr>
        <w:t>Vizient will provide a Certificate of Participation indicating the number of CPHQ credits earned to all participants who claim CPHQ CE Credit for this activity. It is the responsibility of each individual participant to self-report the CE they earned to NAHQ.</w:t>
      </w:r>
    </w:p>
    <w:p w14:paraId="0E77241E" w14:textId="77777777" w:rsidR="00190167" w:rsidRPr="00AE30DB" w:rsidRDefault="00190167" w:rsidP="00AE30DB">
      <w:pPr>
        <w:rPr>
          <w:rFonts w:cs="Arial"/>
          <w:color w:val="696969" w:themeColor="text2"/>
          <w:sz w:val="22"/>
          <w:szCs w:val="22"/>
        </w:rPr>
      </w:pPr>
    </w:p>
    <w:p w14:paraId="0BB13CA3" w14:textId="77777777" w:rsidR="00190167" w:rsidRPr="00AE30DB" w:rsidRDefault="00190167" w:rsidP="00275F4D">
      <w:pPr>
        <w:spacing w:after="120"/>
        <w:rPr>
          <w:rFonts w:cs="Arial"/>
          <w:color w:val="FF4E00" w:themeColor="accent1"/>
          <w:sz w:val="24"/>
        </w:rPr>
      </w:pPr>
      <w:r w:rsidRPr="00AE30DB">
        <w:rPr>
          <w:rFonts w:cs="Arial"/>
          <w:b/>
          <w:bCs/>
          <w:color w:val="FF4E00" w:themeColor="accent1"/>
          <w:sz w:val="24"/>
        </w:rPr>
        <w:t>Pharmacists/</w:t>
      </w:r>
      <w:r w:rsidRPr="00AE30DB">
        <w:rPr>
          <w:rFonts w:cs="Arial"/>
          <w:color w:val="FF4E00" w:themeColor="accent1"/>
          <w:sz w:val="24"/>
        </w:rPr>
        <w:t xml:space="preserve"> </w:t>
      </w:r>
      <w:r w:rsidRPr="00AE30DB">
        <w:rPr>
          <w:rFonts w:cs="Arial"/>
          <w:b/>
          <w:bCs/>
          <w:color w:val="FF4E00" w:themeColor="accent1"/>
          <w:sz w:val="24"/>
        </w:rPr>
        <w:t>Pharmacy Technicians (ACPE)</w:t>
      </w:r>
    </w:p>
    <w:p w14:paraId="296FF35C" w14:textId="77777777" w:rsidR="00190167" w:rsidRDefault="00190167" w:rsidP="00AE30DB">
      <w:pPr>
        <w:rPr>
          <w:rFonts w:cs="Arial"/>
          <w:color w:val="696969" w:themeColor="text2"/>
          <w:sz w:val="22"/>
          <w:szCs w:val="22"/>
        </w:rPr>
      </w:pPr>
      <w:r w:rsidRPr="00AE30DB">
        <w:rPr>
          <w:rFonts w:cs="Arial"/>
          <w:color w:val="696969" w:themeColor="text2"/>
          <w:sz w:val="22"/>
          <w:szCs w:val="22"/>
        </w:rPr>
        <w:t xml:space="preserve">Upon closing of the online evaluation, Vizient will report your CE credits directly to CPE monitor within 60 days. </w:t>
      </w:r>
    </w:p>
    <w:p w14:paraId="46D7E876" w14:textId="77777777" w:rsidR="00190167" w:rsidRPr="00AE30DB" w:rsidRDefault="00190167" w:rsidP="00AE30DB">
      <w:pPr>
        <w:rPr>
          <w:rFonts w:cs="Arial"/>
          <w:color w:val="696969" w:themeColor="text2"/>
          <w:sz w:val="22"/>
          <w:szCs w:val="22"/>
        </w:rPr>
      </w:pPr>
    </w:p>
    <w:p w14:paraId="63FDE11D" w14:textId="77777777" w:rsidR="00190167" w:rsidRPr="00AE30DB" w:rsidRDefault="00190167" w:rsidP="00275F4D">
      <w:pPr>
        <w:spacing w:after="120"/>
        <w:rPr>
          <w:rFonts w:cs="Arial"/>
          <w:color w:val="595959" w:themeColor="text1" w:themeTint="A6"/>
          <w:sz w:val="22"/>
          <w:szCs w:val="22"/>
        </w:rPr>
      </w:pPr>
      <w:r w:rsidRPr="00AE30DB">
        <w:rPr>
          <w:rFonts w:cs="Arial"/>
          <w:b/>
          <w:bCs/>
          <w:color w:val="595959" w:themeColor="text1" w:themeTint="A6"/>
          <w:sz w:val="22"/>
          <w:szCs w:val="22"/>
        </w:rPr>
        <w:t>Please note:</w:t>
      </w:r>
    </w:p>
    <w:p w14:paraId="1DB2051B" w14:textId="77777777" w:rsidR="00190167" w:rsidRPr="00AE30DB" w:rsidRDefault="00190167" w:rsidP="004A60B8">
      <w:pPr>
        <w:numPr>
          <w:ilvl w:val="0"/>
          <w:numId w:val="5"/>
        </w:numPr>
        <w:rPr>
          <w:rFonts w:cs="Arial"/>
          <w:color w:val="696969" w:themeColor="text2"/>
          <w:sz w:val="22"/>
          <w:szCs w:val="22"/>
        </w:rPr>
      </w:pPr>
      <w:r w:rsidRPr="00AE30DB">
        <w:rPr>
          <w:rFonts w:cs="Arial"/>
          <w:color w:val="696969" w:themeColor="text2"/>
          <w:sz w:val="22"/>
          <w:szCs w:val="22"/>
        </w:rPr>
        <w:t>After the course close date, Vizient will no longer be able to report credit(s) to CPE monitor.</w:t>
      </w:r>
    </w:p>
    <w:p w14:paraId="517AA20B" w14:textId="77777777" w:rsidR="00190167" w:rsidRPr="00AE30DB" w:rsidRDefault="00190167" w:rsidP="004A60B8">
      <w:pPr>
        <w:numPr>
          <w:ilvl w:val="0"/>
          <w:numId w:val="5"/>
        </w:numPr>
        <w:rPr>
          <w:rFonts w:cs="Arial"/>
          <w:color w:val="696969" w:themeColor="text2"/>
          <w:sz w:val="22"/>
          <w:szCs w:val="22"/>
        </w:rPr>
      </w:pPr>
      <w:r w:rsidRPr="00AE30DB">
        <w:rPr>
          <w:rFonts w:cs="Arial"/>
          <w:color w:val="696969" w:themeColor="text2"/>
          <w:sz w:val="22"/>
          <w:szCs w:val="22"/>
        </w:rPr>
        <w:t xml:space="preserve">It is the responsibility of the pharmacist or pharmacy technician to ensure that your </w:t>
      </w:r>
      <w:hyperlink r:id="rId33" w:history="1">
        <w:r w:rsidRPr="00AE30DB">
          <w:rPr>
            <w:rStyle w:val="Hyperlink"/>
            <w:rFonts w:cs="Arial"/>
            <w:sz w:val="22"/>
            <w:szCs w:val="22"/>
          </w:rPr>
          <w:t>Vizient CE Learner Profile</w:t>
        </w:r>
      </w:hyperlink>
      <w:r w:rsidRPr="00AE30DB">
        <w:rPr>
          <w:rFonts w:cs="Arial"/>
          <w:color w:val="595959" w:themeColor="text1" w:themeTint="A6"/>
          <w:sz w:val="22"/>
          <w:szCs w:val="22"/>
        </w:rPr>
        <w:t xml:space="preserve"> </w:t>
      </w:r>
      <w:r w:rsidRPr="00AE30DB">
        <w:rPr>
          <w:rFonts w:cs="Arial"/>
          <w:color w:val="696969" w:themeColor="text2"/>
          <w:sz w:val="22"/>
          <w:szCs w:val="22"/>
        </w:rPr>
        <w:t>has the correct NABP e-profile ID and DOB (in MMDD format) to receive credit for participating in the activity.</w:t>
      </w:r>
    </w:p>
    <w:p w14:paraId="68A7538A" w14:textId="77777777" w:rsidR="00190167" w:rsidRPr="00AE30DB" w:rsidRDefault="00190167" w:rsidP="004A60B8">
      <w:pPr>
        <w:numPr>
          <w:ilvl w:val="0"/>
          <w:numId w:val="5"/>
        </w:numPr>
        <w:rPr>
          <w:rFonts w:cs="Arial"/>
          <w:color w:val="696969" w:themeColor="text2"/>
          <w:sz w:val="22"/>
          <w:szCs w:val="22"/>
        </w:rPr>
      </w:pPr>
      <w:r w:rsidRPr="00AE30DB">
        <w:rPr>
          <w:rFonts w:cs="Arial"/>
          <w:color w:val="696969" w:themeColor="text2"/>
          <w:sz w:val="22"/>
          <w:szCs w:val="22"/>
        </w:rPr>
        <w:t xml:space="preserve">To track the status of the submission of your credits to NABP: please check the </w:t>
      </w:r>
      <w:hyperlink r:id="rId34" w:history="1">
        <w:r w:rsidRPr="00AE30DB">
          <w:rPr>
            <w:rStyle w:val="Hyperlink"/>
            <w:rFonts w:cs="Arial"/>
            <w:sz w:val="22"/>
            <w:szCs w:val="22"/>
          </w:rPr>
          <w:t>Reported Credit Tab</w:t>
        </w:r>
      </w:hyperlink>
      <w:r w:rsidRPr="00AE30DB">
        <w:rPr>
          <w:rFonts w:cs="Arial"/>
          <w:color w:val="595959" w:themeColor="text1" w:themeTint="A6"/>
          <w:sz w:val="22"/>
          <w:szCs w:val="22"/>
        </w:rPr>
        <w:t xml:space="preserve"> </w:t>
      </w:r>
      <w:r w:rsidRPr="00AE30DB">
        <w:rPr>
          <w:rFonts w:cs="Arial"/>
          <w:color w:val="696969" w:themeColor="text2"/>
          <w:sz w:val="22"/>
          <w:szCs w:val="22"/>
        </w:rPr>
        <w:t>in your Vizient CE account.</w:t>
      </w:r>
    </w:p>
    <w:p w14:paraId="763CC346" w14:textId="77777777" w:rsidR="00190167" w:rsidRPr="00AE30DB" w:rsidRDefault="00190167" w:rsidP="004A60B8">
      <w:pPr>
        <w:numPr>
          <w:ilvl w:val="0"/>
          <w:numId w:val="6"/>
        </w:numPr>
        <w:rPr>
          <w:rFonts w:cs="Arial"/>
          <w:color w:val="595959" w:themeColor="text1" w:themeTint="A6"/>
          <w:sz w:val="22"/>
          <w:szCs w:val="22"/>
        </w:rPr>
      </w:pPr>
      <w:r w:rsidRPr="00AE30DB">
        <w:rPr>
          <w:rFonts w:cs="Arial"/>
          <w:color w:val="696969" w:themeColor="text2"/>
          <w:sz w:val="22"/>
          <w:szCs w:val="22"/>
        </w:rPr>
        <w:t xml:space="preserve">To verify your credits were successfully submitted to NABP before the deadline: please check your </w:t>
      </w:r>
      <w:hyperlink r:id="rId35" w:history="1">
        <w:r w:rsidRPr="00AE30DB">
          <w:rPr>
            <w:rStyle w:val="Hyperlink"/>
            <w:rFonts w:cs="Arial"/>
            <w:sz w:val="22"/>
            <w:szCs w:val="22"/>
          </w:rPr>
          <w:t>NABP e-Profile account</w:t>
        </w:r>
      </w:hyperlink>
      <w:r w:rsidRPr="00AE30DB">
        <w:rPr>
          <w:rFonts w:cs="Arial"/>
          <w:color w:val="595959" w:themeColor="text1" w:themeTint="A6"/>
          <w:sz w:val="22"/>
          <w:szCs w:val="22"/>
        </w:rPr>
        <w:t>.</w:t>
      </w:r>
    </w:p>
    <w:p w14:paraId="141C5516" w14:textId="77777777" w:rsidR="00190167" w:rsidRPr="00AE30DB" w:rsidRDefault="00190167" w:rsidP="004A60B8">
      <w:pPr>
        <w:numPr>
          <w:ilvl w:val="0"/>
          <w:numId w:val="6"/>
        </w:numPr>
        <w:rPr>
          <w:rFonts w:cs="Arial"/>
          <w:color w:val="595959" w:themeColor="text1" w:themeTint="A6"/>
          <w:sz w:val="22"/>
          <w:szCs w:val="22"/>
        </w:rPr>
      </w:pPr>
      <w:r w:rsidRPr="00AE30DB">
        <w:rPr>
          <w:rFonts w:cs="Arial"/>
          <w:color w:val="696969" w:themeColor="text2"/>
          <w:sz w:val="22"/>
          <w:szCs w:val="22"/>
        </w:rPr>
        <w:lastRenderedPageBreak/>
        <w:t xml:space="preserve">For all other questions regarding your NABP e-Profile or CPE Monitor, please </w:t>
      </w:r>
      <w:hyperlink r:id="rId36" w:history="1">
        <w:r w:rsidRPr="00AE30DB">
          <w:rPr>
            <w:rStyle w:val="Hyperlink"/>
            <w:rFonts w:cs="Arial"/>
            <w:sz w:val="22"/>
            <w:szCs w:val="22"/>
          </w:rPr>
          <w:t>contact NABP</w:t>
        </w:r>
      </w:hyperlink>
      <w:r w:rsidRPr="00AE30DB">
        <w:rPr>
          <w:rFonts w:cs="Arial"/>
          <w:color w:val="595959" w:themeColor="text1" w:themeTint="A6"/>
          <w:sz w:val="22"/>
          <w:szCs w:val="22"/>
        </w:rPr>
        <w:t xml:space="preserve"> </w:t>
      </w:r>
      <w:r w:rsidRPr="00AE30DB">
        <w:rPr>
          <w:rFonts w:cs="Arial"/>
          <w:color w:val="696969" w:themeColor="text2"/>
          <w:sz w:val="22"/>
          <w:szCs w:val="22"/>
        </w:rPr>
        <w:t>directly.</w:t>
      </w:r>
    </w:p>
    <w:p w14:paraId="1DF8DBD3" w14:textId="77777777" w:rsidR="00190167" w:rsidRDefault="00190167" w:rsidP="00275F4D">
      <w:pPr>
        <w:rPr>
          <w:rFonts w:eastAsia="Calibri" w:cs="Arial"/>
          <w:b/>
          <w:bCs/>
          <w:color w:val="01ADAB"/>
          <w:sz w:val="22"/>
          <w:szCs w:val="22"/>
        </w:rPr>
      </w:pPr>
    </w:p>
    <w:p w14:paraId="6F15F548" w14:textId="77777777" w:rsidR="00190167" w:rsidRDefault="00190167" w:rsidP="00275F4D">
      <w:pPr>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386FBDDF" w14:textId="77777777" w:rsidR="00190167" w:rsidRDefault="00190167" w:rsidP="00275F4D">
      <w:pPr>
        <w:rPr>
          <w:rFonts w:eastAsia="Calibri" w:cs="Arial"/>
          <w:b/>
          <w:bCs/>
          <w:color w:val="01ADAB"/>
          <w:sz w:val="28"/>
          <w:szCs w:val="28"/>
        </w:rPr>
      </w:pPr>
    </w:p>
    <w:p w14:paraId="31D3F173" w14:textId="77777777" w:rsidR="00190167" w:rsidRPr="0044141B" w:rsidRDefault="00190167" w:rsidP="00AE30DB">
      <w:pPr>
        <w:rPr>
          <w:rFonts w:eastAsia="Calibri" w:cs="Arial"/>
          <w:bCs/>
          <w:color w:val="696969" w:themeColor="accent6"/>
          <w:sz w:val="22"/>
          <w:szCs w:val="22"/>
        </w:rPr>
      </w:pPr>
      <w:r w:rsidRPr="0044141B">
        <w:rPr>
          <w:rFonts w:eastAsia="Calibri" w:cs="Arial"/>
          <w:bCs/>
          <w:color w:val="696969" w:themeColor="accent6"/>
          <w:sz w:val="22"/>
          <w:szCs w:val="22"/>
        </w:rPr>
        <w:t>As an accredited provider of continuing education</w:t>
      </w:r>
      <w:r w:rsidRPr="0044141B">
        <w:rPr>
          <w:rFonts w:eastAsia="Calibri" w:cs="Arial"/>
          <w:b/>
          <w:bCs/>
          <w:color w:val="696969" w:themeColor="accent6"/>
          <w:sz w:val="22"/>
          <w:szCs w:val="22"/>
        </w:rPr>
        <w:t>,</w:t>
      </w:r>
      <w:r w:rsidRPr="0044141B">
        <w:rPr>
          <w:rFonts w:eastAsia="Calibri" w:cs="Arial"/>
          <w:bCs/>
          <w:color w:val="696969" w:themeColor="accent6"/>
          <w:sz w:val="22"/>
          <w:szCs w:val="22"/>
        </w:rPr>
        <w:t xml:space="preserve"> Vizient, Inc. is dedicated to ensuring this activity presents learners with only accurate, balanced, scientifically justified recommendations, and is free from promotion, marketing, and commercial bias.</w:t>
      </w:r>
      <w:r w:rsidRPr="0044141B">
        <w:rPr>
          <w:rFonts w:eastAsia="Calibri" w:cs="Arial"/>
          <w:bCs/>
          <w:color w:val="696969" w:themeColor="accent6"/>
          <w:spacing w:val="6"/>
          <w:sz w:val="22"/>
          <w:szCs w:val="22"/>
          <w:shd w:val="clear" w:color="auto" w:fill="FFFFFF"/>
        </w:rPr>
        <w:t xml:space="preserve"> In accordance with The Standards for Integrity and Independence in Accredited Continuing Education, </w:t>
      </w:r>
      <w:r w:rsidRPr="0044141B">
        <w:rPr>
          <w:rFonts w:eastAsia="Calibri" w:cs="Arial"/>
          <w:bCs/>
          <w:color w:val="696969" w:themeColor="accent6"/>
          <w:sz w:val="22"/>
          <w:szCs w:val="22"/>
        </w:rPr>
        <w:t xml:space="preserve">all </w:t>
      </w:r>
      <w:r w:rsidRPr="0044141B">
        <w:rPr>
          <w:rFonts w:eastAsia="Calibri" w:cs="Arial"/>
          <w:bCs/>
          <w:color w:val="696969" w:themeColor="accent6"/>
          <w:spacing w:val="6"/>
          <w:sz w:val="22"/>
          <w:szCs w:val="22"/>
          <w:shd w:val="clear" w:color="auto" w:fill="FFFFFF"/>
        </w:rPr>
        <w:t xml:space="preserve">planners, faculty, and others in control of the educational content have disclosed the </w:t>
      </w:r>
      <w:r w:rsidRPr="0044141B">
        <w:rPr>
          <w:rFonts w:eastAsia="Calibri" w:cs="Arial"/>
          <w:bCs/>
          <w:color w:val="696969" w:themeColor="accent6"/>
          <w:sz w:val="22"/>
          <w:szCs w:val="22"/>
        </w:rPr>
        <w:t xml:space="preserve">absence or existence </w:t>
      </w:r>
      <w:r w:rsidRPr="0044141B">
        <w:rPr>
          <w:rFonts w:eastAsia="Calibri" w:cs="Arial"/>
          <w:bCs/>
          <w:color w:val="696969" w:themeColor="accent6"/>
          <w:spacing w:val="6"/>
          <w:sz w:val="22"/>
          <w:szCs w:val="22"/>
          <w:shd w:val="clear" w:color="auto" w:fill="FFFFFF"/>
        </w:rPr>
        <w:t>of</w:t>
      </w:r>
      <w:r w:rsidRPr="0044141B">
        <w:rPr>
          <w:rFonts w:eastAsia="Calibri" w:cs="Arial"/>
          <w:bCs/>
          <w:color w:val="696969" w:themeColor="accent6"/>
          <w:sz w:val="22"/>
          <w:szCs w:val="22"/>
        </w:rPr>
        <w:t xml:space="preserve"> all financial relationships (of any dollar amount) with ineligible companies within the past 24 months. </w:t>
      </w:r>
    </w:p>
    <w:p w14:paraId="2AE28FA9" w14:textId="77777777" w:rsidR="00190167" w:rsidRPr="0044141B" w:rsidRDefault="00190167" w:rsidP="00AE30DB">
      <w:pPr>
        <w:rPr>
          <w:rFonts w:eastAsia="Calibri" w:cs="Arial"/>
          <w:bCs/>
          <w:color w:val="696969" w:themeColor="accent6"/>
          <w:sz w:val="22"/>
          <w:szCs w:val="22"/>
        </w:rPr>
      </w:pPr>
    </w:p>
    <w:p w14:paraId="50AE19CA" w14:textId="77777777" w:rsidR="00190167" w:rsidRPr="0044141B" w:rsidRDefault="00190167" w:rsidP="00AE30DB">
      <w:pPr>
        <w:rPr>
          <w:rFonts w:eastAsia="Calibri" w:cs="Arial"/>
          <w:color w:val="696969" w:themeColor="accent6"/>
          <w:spacing w:val="6"/>
          <w:sz w:val="22"/>
          <w:szCs w:val="22"/>
          <w:shd w:val="clear" w:color="auto" w:fill="FFFFFF"/>
        </w:rPr>
      </w:pPr>
      <w:r w:rsidRPr="0044141B">
        <w:rPr>
          <w:rFonts w:eastAsia="Calibri" w:cs="Arial"/>
          <w:bCs/>
          <w:color w:val="696969" w:themeColor="accent6"/>
          <w:sz w:val="22"/>
          <w:szCs w:val="22"/>
        </w:rPr>
        <w:t xml:space="preserve">It is Vizient’s policy that owners and employees of ineligible companies, and any individuals who refuse to disclose the absence or existence of financial relationships with any ineligible companies are disqualified from </w:t>
      </w:r>
      <w:r w:rsidRPr="0044141B">
        <w:rPr>
          <w:rFonts w:eastAsia="Calibri" w:cs="Arial"/>
          <w:color w:val="696969" w:themeColor="accent6"/>
          <w:spacing w:val="6"/>
          <w:sz w:val="22"/>
          <w:szCs w:val="22"/>
          <w:shd w:val="clear" w:color="auto" w:fill="FFFFFF"/>
        </w:rPr>
        <w:t>participating as planners or faculty.</w:t>
      </w:r>
    </w:p>
    <w:p w14:paraId="42203A97" w14:textId="77777777" w:rsidR="00190167" w:rsidRDefault="00190167" w:rsidP="00AE30DB">
      <w:pPr>
        <w:spacing w:after="160"/>
        <w:rPr>
          <w:rFonts w:cs="Arial"/>
          <w:b/>
          <w:bCs/>
          <w:color w:val="01ADAB" w:themeColor="accent4"/>
          <w:sz w:val="24"/>
          <w:szCs w:val="28"/>
        </w:rPr>
      </w:pPr>
    </w:p>
    <w:p w14:paraId="69749562" w14:textId="77777777" w:rsidR="00190167" w:rsidRPr="007B46F7" w:rsidRDefault="00190167" w:rsidP="00AE30DB">
      <w:pPr>
        <w:spacing w:after="160"/>
        <w:rPr>
          <w:rFonts w:cs="Arial"/>
          <w:b/>
          <w:bCs/>
          <w:color w:val="01ADAB" w:themeColor="accent4"/>
          <w:sz w:val="24"/>
          <w:szCs w:val="28"/>
        </w:rPr>
      </w:pPr>
      <w:r w:rsidRPr="0044141B">
        <w:rPr>
          <w:rFonts w:cs="Arial"/>
          <w:b/>
          <w:bCs/>
          <w:color w:val="01ADAB" w:themeColor="accent4"/>
          <w:sz w:val="24"/>
          <w:szCs w:val="28"/>
        </w:rPr>
        <w:t xml:space="preserve">Disclosure </w:t>
      </w:r>
      <w:r>
        <w:rPr>
          <w:rFonts w:cs="Arial"/>
          <w:b/>
          <w:bCs/>
          <w:color w:val="01ADAB" w:themeColor="accent4"/>
          <w:sz w:val="24"/>
          <w:szCs w:val="28"/>
        </w:rPr>
        <w:t xml:space="preserve">Statements </w:t>
      </w:r>
    </w:p>
    <w:p w14:paraId="3893CB56" w14:textId="77777777" w:rsidR="00190167" w:rsidRDefault="00190167" w:rsidP="00AE30DB">
      <w:pPr>
        <w:spacing w:after="160"/>
        <w:rPr>
          <w:rFonts w:eastAsia="Calibri" w:cs="Arial"/>
          <w:bCs/>
          <w:color w:val="FF4E00"/>
          <w:sz w:val="24"/>
        </w:rPr>
      </w:pPr>
      <w:r>
        <w:rPr>
          <w:rFonts w:eastAsia="Calibri" w:cs="Arial"/>
          <w:b/>
          <w:bCs/>
          <w:color w:val="FF4E00"/>
          <w:sz w:val="24"/>
          <w:shd w:val="clear" w:color="auto" w:fill="FFFFFF"/>
        </w:rPr>
        <w:t>Absence of Relevant Financial Relationships</w:t>
      </w:r>
    </w:p>
    <w:p w14:paraId="18EC69F4" w14:textId="77777777" w:rsidR="00190167" w:rsidRPr="0044141B" w:rsidRDefault="00190167" w:rsidP="00AE30DB">
      <w:pPr>
        <w:rPr>
          <w:rFonts w:eastAsia="Calibri" w:cs="Arial"/>
          <w:bCs/>
          <w:color w:val="696969" w:themeColor="accent6"/>
          <w:sz w:val="22"/>
          <w:szCs w:val="22"/>
        </w:rPr>
      </w:pPr>
      <w:r w:rsidRPr="0044141B">
        <w:rPr>
          <w:rFonts w:eastAsia="Calibri" w:cs="Arial"/>
          <w:bCs/>
          <w:color w:val="696969" w:themeColor="accent6"/>
          <w:sz w:val="22"/>
          <w:szCs w:val="22"/>
        </w:rPr>
        <w:t>Vizient, Inc., Jointly Accredited for Interprofessional Continuing Education, defines companies to be ineligible as those whose primary business is producing, marketing, selling, re-selling, or distributing healthcare products used by or on patients.</w:t>
      </w:r>
    </w:p>
    <w:p w14:paraId="40A96299" w14:textId="77777777" w:rsidR="00190167" w:rsidRPr="0044141B" w:rsidRDefault="00190167" w:rsidP="00AE30DB">
      <w:pPr>
        <w:rPr>
          <w:rFonts w:eastAsia="Calibri" w:cs="Arial"/>
          <w:bCs/>
          <w:color w:val="696969" w:themeColor="accent6"/>
          <w:sz w:val="22"/>
          <w:szCs w:val="22"/>
        </w:rPr>
      </w:pPr>
    </w:p>
    <w:p w14:paraId="3D3860D2" w14:textId="77777777" w:rsidR="00190167" w:rsidRPr="0044141B" w:rsidRDefault="00190167" w:rsidP="00AE30DB">
      <w:pPr>
        <w:rPr>
          <w:rFonts w:eastAsia="Calibri" w:cs="Arial"/>
          <w:bCs/>
          <w:color w:val="696969" w:themeColor="accent6"/>
          <w:sz w:val="22"/>
          <w:szCs w:val="22"/>
        </w:rPr>
      </w:pPr>
      <w:r w:rsidRPr="0044141B">
        <w:rPr>
          <w:rFonts w:eastAsia="Calibri" w:cs="Arial"/>
          <w:bCs/>
          <w:color w:val="696969" w:themeColor="accent6"/>
          <w:sz w:val="22"/>
          <w:szCs w:val="22"/>
        </w:rPr>
        <w:t>An individual is considered to have a relevant financial relationship if the educational content an individual can control is related to the business lines or products of the ineligible company.</w:t>
      </w:r>
    </w:p>
    <w:p w14:paraId="36E73EF1" w14:textId="77777777" w:rsidR="00190167" w:rsidRPr="0044141B" w:rsidRDefault="00190167" w:rsidP="00AE30DB">
      <w:pPr>
        <w:rPr>
          <w:rFonts w:eastAsia="Calibri" w:cs="Arial"/>
          <w:bCs/>
          <w:color w:val="696969" w:themeColor="accent6"/>
          <w:sz w:val="22"/>
          <w:szCs w:val="22"/>
        </w:rPr>
      </w:pPr>
    </w:p>
    <w:p w14:paraId="56050116" w14:textId="28356694" w:rsidR="00190167" w:rsidRPr="00190167" w:rsidRDefault="00190167" w:rsidP="00190167">
      <w:pPr>
        <w:pStyle w:val="ListParagraph"/>
        <w:numPr>
          <w:ilvl w:val="0"/>
          <w:numId w:val="10"/>
        </w:numPr>
        <w:rPr>
          <w:rFonts w:eastAsia="Calibri" w:cs="Arial"/>
          <w:bCs/>
          <w:color w:val="696969" w:themeColor="accent6"/>
          <w:sz w:val="22"/>
        </w:rPr>
      </w:pPr>
      <w:r w:rsidRPr="00190167">
        <w:rPr>
          <w:rFonts w:eastAsia="Calibri" w:cs="Arial"/>
          <w:bCs/>
          <w:color w:val="696969" w:themeColor="accent6"/>
          <w:sz w:val="22"/>
        </w:rPr>
        <w:t>No one in a position to control the content of this educational activity have relevant financial relationships with ineligible companies.</w:t>
      </w:r>
    </w:p>
    <w:p w14:paraId="190790EC" w14:textId="77777777" w:rsidR="00190167" w:rsidRPr="00736465" w:rsidRDefault="00190167" w:rsidP="0044141B">
      <w:pPr>
        <w:rPr>
          <w:b/>
          <w:bCs/>
          <w:color w:val="FF4E00" w:themeColor="accent1"/>
          <w:sz w:val="28"/>
          <w:szCs w:val="28"/>
        </w:rPr>
      </w:pPr>
      <w:r w:rsidRPr="00736465">
        <w:rPr>
          <w:b/>
          <w:bCs/>
          <w:color w:val="FF4E00" w:themeColor="accent1"/>
          <w:sz w:val="28"/>
          <w:szCs w:val="28"/>
        </w:rPr>
        <w:t>Faculty &amp; Planners</w:t>
      </w:r>
    </w:p>
    <w:p w14:paraId="524F5EBD" w14:textId="77777777" w:rsidR="00190167" w:rsidRDefault="00190167" w:rsidP="0044141B">
      <w:pPr>
        <w:pStyle w:val="VZTSubheadL1"/>
        <w:spacing w:before="0" w:after="120" w:line="240" w:lineRule="auto"/>
        <w:rPr>
          <w:sz w:val="22"/>
          <w:szCs w:val="22"/>
        </w:rPr>
      </w:pPr>
    </w:p>
    <w:p w14:paraId="49F24A8E" w14:textId="77777777" w:rsidR="00190167" w:rsidRPr="00842BED" w:rsidRDefault="00190167" w:rsidP="0044141B">
      <w:pPr>
        <w:pStyle w:val="VZTSubheadL1"/>
        <w:spacing w:before="0" w:after="120" w:line="240" w:lineRule="auto"/>
        <w:rPr>
          <w:sz w:val="24"/>
          <w:szCs w:val="24"/>
        </w:rPr>
      </w:pPr>
      <w:r w:rsidRPr="00842BED">
        <w:rPr>
          <w:sz w:val="24"/>
          <w:szCs w:val="24"/>
        </w:rPr>
        <w:t>Planning Committee</w:t>
      </w:r>
      <w:r w:rsidRPr="00842BED">
        <w:rPr>
          <w:color w:val="2F2F2F"/>
          <w:sz w:val="24"/>
          <w:szCs w:val="24"/>
        </w:rPr>
        <w:t> </w:t>
      </w:r>
    </w:p>
    <w:p w14:paraId="6F2317E1" w14:textId="77777777" w:rsidR="00190167" w:rsidRPr="00E44872" w:rsidRDefault="00190167" w:rsidP="00B43983">
      <w:pPr>
        <w:rPr>
          <w:rFonts w:ascii="Times New Roman" w:eastAsia="Times New Roman" w:hAnsi="Times New Roman" w:cs="Times New Roman"/>
          <w:sz w:val="28"/>
          <w:szCs w:val="28"/>
        </w:rPr>
      </w:pPr>
      <w:r w:rsidRPr="00E44872">
        <w:rPr>
          <w:rFonts w:eastAsia="Times New Roman" w:cs="Arial"/>
          <w:color w:val="696969"/>
          <w:sz w:val="22"/>
          <w:szCs w:val="28"/>
          <w:shd w:val="clear" w:color="auto" w:fill="FFFFFF"/>
        </w:rPr>
        <w:t xml:space="preserve">Ellen Flynn, RN, MBA, JD, CPPS </w:t>
      </w:r>
      <w:r w:rsidRPr="00E44872">
        <w:rPr>
          <w:rFonts w:eastAsia="Times New Roman" w:cs="Arial"/>
          <w:color w:val="7F5EBA"/>
          <w:sz w:val="22"/>
          <w:szCs w:val="28"/>
          <w:shd w:val="clear" w:color="auto" w:fill="FFFFFF"/>
        </w:rPr>
        <w:t>(Course Director)    </w:t>
      </w:r>
    </w:p>
    <w:p w14:paraId="3057FAF7" w14:textId="77777777" w:rsidR="00190167" w:rsidRPr="00E44872" w:rsidRDefault="00190167" w:rsidP="00B43983">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Principal, Vizient Inc.</w:t>
      </w:r>
    </w:p>
    <w:p w14:paraId="3A43A2AF" w14:textId="77777777" w:rsidR="00190167" w:rsidRPr="00E44872" w:rsidRDefault="00190167" w:rsidP="00B43983">
      <w:pPr>
        <w:rPr>
          <w:rFonts w:ascii="Times New Roman" w:eastAsia="Times New Roman" w:hAnsi="Times New Roman" w:cs="Times New Roman"/>
          <w:sz w:val="28"/>
          <w:szCs w:val="28"/>
        </w:rPr>
      </w:pPr>
    </w:p>
    <w:p w14:paraId="4FC4DBF4" w14:textId="77777777" w:rsidR="00190167" w:rsidRPr="00E44872" w:rsidRDefault="00190167" w:rsidP="00B43983">
      <w:pPr>
        <w:rPr>
          <w:rFonts w:ascii="Times New Roman" w:eastAsia="Times New Roman" w:hAnsi="Times New Roman" w:cs="Times New Roman"/>
          <w:sz w:val="28"/>
          <w:szCs w:val="28"/>
        </w:rPr>
      </w:pPr>
      <w:r w:rsidRPr="00E44872">
        <w:rPr>
          <w:rFonts w:eastAsia="Times New Roman" w:cs="Arial"/>
          <w:color w:val="696969"/>
          <w:sz w:val="22"/>
          <w:szCs w:val="28"/>
          <w:shd w:val="clear" w:color="auto" w:fill="FFFFFF"/>
        </w:rPr>
        <w:t>Tammy Williams, MSN, RN, CPPS</w:t>
      </w:r>
    </w:p>
    <w:p w14:paraId="4E370B50" w14:textId="77777777" w:rsidR="00190167" w:rsidRPr="00E44872" w:rsidRDefault="00190167" w:rsidP="00B43983">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Program Director, Vizient Inc.</w:t>
      </w:r>
    </w:p>
    <w:p w14:paraId="30B9D694" w14:textId="77777777" w:rsidR="00190167" w:rsidRPr="00E44872" w:rsidRDefault="00190167" w:rsidP="00B43983">
      <w:pPr>
        <w:rPr>
          <w:rFonts w:ascii="Times New Roman" w:eastAsia="Times New Roman" w:hAnsi="Times New Roman" w:cs="Times New Roman"/>
          <w:sz w:val="28"/>
          <w:szCs w:val="28"/>
        </w:rPr>
      </w:pPr>
    </w:p>
    <w:p w14:paraId="6469AF6D" w14:textId="76A45F23" w:rsidR="00190167" w:rsidRPr="00E44872" w:rsidRDefault="00190167" w:rsidP="00B43983">
      <w:pPr>
        <w:rPr>
          <w:rFonts w:ascii="Times New Roman" w:eastAsia="Times New Roman" w:hAnsi="Times New Roman" w:cs="Times New Roman"/>
          <w:sz w:val="28"/>
          <w:szCs w:val="28"/>
        </w:rPr>
      </w:pPr>
      <w:r w:rsidRPr="00E44872">
        <w:rPr>
          <w:rFonts w:eastAsia="Times New Roman" w:cs="Arial"/>
          <w:color w:val="696969"/>
          <w:sz w:val="22"/>
          <w:szCs w:val="28"/>
          <w:shd w:val="clear" w:color="auto" w:fill="FFFFFF"/>
        </w:rPr>
        <w:t>Kathryn Merkeley</w:t>
      </w:r>
      <w:r w:rsidR="001D0E17" w:rsidRPr="00E44872">
        <w:rPr>
          <w:rFonts w:eastAsia="Times New Roman" w:cs="Arial"/>
          <w:color w:val="696969"/>
          <w:sz w:val="22"/>
          <w:szCs w:val="28"/>
          <w:shd w:val="clear" w:color="auto" w:fill="FFFFFF"/>
        </w:rPr>
        <w:t xml:space="preserve">, </w:t>
      </w:r>
      <w:r w:rsidRPr="00E44872">
        <w:rPr>
          <w:rFonts w:eastAsia="Times New Roman" w:cs="Arial"/>
          <w:color w:val="696969"/>
          <w:sz w:val="22"/>
          <w:szCs w:val="28"/>
          <w:shd w:val="clear" w:color="auto" w:fill="FFFFFF"/>
        </w:rPr>
        <w:t>MHSA, RN, PMP, CPPS</w:t>
      </w:r>
    </w:p>
    <w:p w14:paraId="457BC343" w14:textId="77777777" w:rsidR="00190167" w:rsidRPr="00E44872" w:rsidRDefault="00190167" w:rsidP="00B43983">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Program Director, Vizient Inc.</w:t>
      </w:r>
    </w:p>
    <w:p w14:paraId="37FEB2F0" w14:textId="77777777" w:rsidR="00190167" w:rsidRPr="00E44872" w:rsidRDefault="00190167" w:rsidP="00B43983">
      <w:pPr>
        <w:rPr>
          <w:rFonts w:ascii="Times New Roman" w:eastAsia="Times New Roman" w:hAnsi="Times New Roman" w:cs="Times New Roman"/>
          <w:sz w:val="28"/>
          <w:szCs w:val="28"/>
        </w:rPr>
      </w:pPr>
    </w:p>
    <w:p w14:paraId="4123739C" w14:textId="77777777" w:rsidR="00190167" w:rsidRPr="00E44872" w:rsidRDefault="00190167" w:rsidP="00B43983">
      <w:pPr>
        <w:rPr>
          <w:rFonts w:ascii="Times New Roman" w:eastAsia="Times New Roman" w:hAnsi="Times New Roman" w:cs="Times New Roman"/>
          <w:sz w:val="28"/>
          <w:szCs w:val="28"/>
        </w:rPr>
      </w:pPr>
      <w:r w:rsidRPr="00E44872">
        <w:rPr>
          <w:rFonts w:eastAsia="Times New Roman" w:cs="Arial"/>
          <w:color w:val="696969"/>
          <w:sz w:val="22"/>
          <w:szCs w:val="28"/>
          <w:shd w:val="clear" w:color="auto" w:fill="FFFFFF"/>
        </w:rPr>
        <w:t>Christina Driskill, MPH, RN, CPHQ</w:t>
      </w:r>
    </w:p>
    <w:p w14:paraId="0816FA06" w14:textId="77777777" w:rsidR="00190167" w:rsidRPr="00E44872" w:rsidRDefault="00190167" w:rsidP="00B43983">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Program Director, Vizient Inc.</w:t>
      </w:r>
    </w:p>
    <w:p w14:paraId="74825D31" w14:textId="77777777" w:rsidR="00190167" w:rsidRPr="00E44872" w:rsidRDefault="00190167" w:rsidP="00B43983">
      <w:pPr>
        <w:rPr>
          <w:rFonts w:ascii="Times New Roman" w:eastAsia="Times New Roman" w:hAnsi="Times New Roman" w:cs="Times New Roman"/>
          <w:sz w:val="28"/>
          <w:szCs w:val="28"/>
        </w:rPr>
      </w:pPr>
    </w:p>
    <w:p w14:paraId="483E16AA" w14:textId="77777777" w:rsidR="00190167" w:rsidRPr="00E44872" w:rsidRDefault="00190167" w:rsidP="00B43983">
      <w:pPr>
        <w:rPr>
          <w:rFonts w:ascii="Times New Roman" w:eastAsia="Times New Roman" w:hAnsi="Times New Roman" w:cs="Times New Roman"/>
          <w:sz w:val="28"/>
          <w:szCs w:val="28"/>
        </w:rPr>
      </w:pPr>
      <w:r w:rsidRPr="00E44872">
        <w:rPr>
          <w:rFonts w:eastAsia="Times New Roman" w:cs="Arial"/>
          <w:color w:val="696969"/>
          <w:sz w:val="22"/>
          <w:szCs w:val="28"/>
          <w:shd w:val="clear" w:color="auto" w:fill="FFFFFF"/>
        </w:rPr>
        <w:lastRenderedPageBreak/>
        <w:t>Jay Prystowski, MD, MBA</w:t>
      </w:r>
    </w:p>
    <w:p w14:paraId="10F846F6" w14:textId="77777777" w:rsidR="00190167" w:rsidRPr="00E44872" w:rsidRDefault="00190167" w:rsidP="00B43983">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Principal, Vizient Inc.</w:t>
      </w:r>
    </w:p>
    <w:p w14:paraId="1FC6FE9F" w14:textId="77777777" w:rsidR="00190167" w:rsidRPr="00E44872" w:rsidRDefault="00190167" w:rsidP="00B43983">
      <w:pPr>
        <w:rPr>
          <w:rFonts w:ascii="Times New Roman" w:eastAsia="Times New Roman" w:hAnsi="Times New Roman" w:cs="Times New Roman"/>
          <w:sz w:val="28"/>
          <w:szCs w:val="28"/>
        </w:rPr>
      </w:pPr>
    </w:p>
    <w:p w14:paraId="3022D688" w14:textId="77777777" w:rsidR="00190167" w:rsidRPr="00E44872" w:rsidRDefault="00190167" w:rsidP="00B43983">
      <w:pPr>
        <w:rPr>
          <w:rFonts w:ascii="Times New Roman" w:eastAsia="Times New Roman" w:hAnsi="Times New Roman" w:cs="Times New Roman"/>
          <w:sz w:val="28"/>
          <w:szCs w:val="28"/>
        </w:rPr>
      </w:pPr>
      <w:r w:rsidRPr="00E44872">
        <w:rPr>
          <w:rFonts w:eastAsia="Times New Roman" w:cs="Arial"/>
          <w:color w:val="696969"/>
          <w:sz w:val="22"/>
          <w:szCs w:val="28"/>
          <w:shd w:val="clear" w:color="auto" w:fill="FFFFFF"/>
        </w:rPr>
        <w:t>James Lichauer, Pharm.D., BCPS, FASHP</w:t>
      </w:r>
    </w:p>
    <w:p w14:paraId="438CDECC" w14:textId="77777777" w:rsidR="00190167" w:rsidRPr="00E44872" w:rsidRDefault="00190167" w:rsidP="00B43983">
      <w:pPr>
        <w:rPr>
          <w:rFonts w:ascii="Times New Roman" w:eastAsia="Times New Roman" w:hAnsi="Times New Roman" w:cs="Times New Roman"/>
          <w:sz w:val="28"/>
          <w:szCs w:val="28"/>
        </w:rPr>
      </w:pPr>
      <w:r w:rsidRPr="00E44872">
        <w:rPr>
          <w:rFonts w:eastAsia="Times New Roman" w:cs="Arial"/>
          <w:color w:val="696969"/>
          <w:sz w:val="22"/>
          <w:szCs w:val="28"/>
          <w:shd w:val="clear" w:color="auto" w:fill="FFFFFF"/>
        </w:rPr>
        <w:t>PI Program Director, Vizient Inc.</w:t>
      </w:r>
    </w:p>
    <w:p w14:paraId="1570BEF0" w14:textId="77777777" w:rsidR="00190167" w:rsidRPr="001D0E17" w:rsidRDefault="00190167" w:rsidP="001D0E17">
      <w:pPr>
        <w:shd w:val="clear" w:color="auto" w:fill="FFFFFF"/>
        <w:rPr>
          <w:rFonts w:cs="Arial"/>
          <w:color w:val="696969"/>
          <w:sz w:val="22"/>
          <w:szCs w:val="22"/>
        </w:rPr>
      </w:pPr>
    </w:p>
    <w:p w14:paraId="2159BA42" w14:textId="77777777" w:rsidR="00190167" w:rsidRPr="00842BED" w:rsidRDefault="00190167" w:rsidP="0044141B">
      <w:pPr>
        <w:pStyle w:val="VZTSubheadL1"/>
        <w:spacing w:before="120" w:after="120" w:line="240" w:lineRule="auto"/>
        <w:rPr>
          <w:sz w:val="24"/>
          <w:szCs w:val="24"/>
        </w:rPr>
      </w:pPr>
      <w:r w:rsidRPr="00842BED">
        <w:rPr>
          <w:sz w:val="24"/>
          <w:szCs w:val="24"/>
        </w:rPr>
        <w:t>Faculty</w:t>
      </w:r>
    </w:p>
    <w:p w14:paraId="436734F6"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Benjamin Wertheimer, MD</w:t>
      </w:r>
    </w:p>
    <w:p w14:paraId="6967AC36"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Patient Safety Officer, Assistant Professor in Medicine, Hospitalist</w:t>
      </w:r>
    </w:p>
    <w:p w14:paraId="49469492"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NYU Langone Health</w:t>
      </w:r>
    </w:p>
    <w:p w14:paraId="33BE6FAB" w14:textId="77777777" w:rsidR="00E44872" w:rsidRPr="00E44872" w:rsidRDefault="00E44872" w:rsidP="00E44872">
      <w:pPr>
        <w:rPr>
          <w:rFonts w:eastAsia="Times New Roman" w:cs="Arial"/>
          <w:color w:val="696969"/>
          <w:sz w:val="22"/>
          <w:szCs w:val="28"/>
          <w:shd w:val="clear" w:color="auto" w:fill="FFFFFF"/>
        </w:rPr>
      </w:pPr>
    </w:p>
    <w:p w14:paraId="2BCEC9AA"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Elizabeth Haines, DO, MSc</w:t>
      </w:r>
    </w:p>
    <w:p w14:paraId="371B50BB"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Service Chief of Quality- Hassenfeld Children’s Hospital</w:t>
      </w:r>
    </w:p>
    <w:p w14:paraId="2DF4E4D6"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NYU Langone Health</w:t>
      </w:r>
    </w:p>
    <w:p w14:paraId="26FBA37C" w14:textId="77777777" w:rsidR="00E44872" w:rsidRPr="00E44872" w:rsidRDefault="00E44872" w:rsidP="00E44872">
      <w:pPr>
        <w:rPr>
          <w:rFonts w:eastAsia="Times New Roman" w:cs="Arial"/>
          <w:color w:val="696969"/>
          <w:sz w:val="22"/>
          <w:szCs w:val="28"/>
          <w:shd w:val="clear" w:color="auto" w:fill="FFFFFF"/>
        </w:rPr>
      </w:pPr>
    </w:p>
    <w:p w14:paraId="1EBB994D"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Mbonu Ikezuagu, MD, FACP, CPE</w:t>
      </w:r>
    </w:p>
    <w:p w14:paraId="1DF4DCDE"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Vice President &amp; Chief Quality Officer</w:t>
      </w:r>
    </w:p>
    <w:p w14:paraId="55C9E579"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ThedaCare</w:t>
      </w:r>
    </w:p>
    <w:p w14:paraId="3D752EF8" w14:textId="77777777" w:rsidR="00E44872" w:rsidRPr="00E44872" w:rsidRDefault="00E44872" w:rsidP="00E44872">
      <w:pPr>
        <w:rPr>
          <w:rFonts w:eastAsia="Times New Roman" w:cs="Arial"/>
          <w:color w:val="696969"/>
          <w:sz w:val="22"/>
          <w:szCs w:val="28"/>
          <w:shd w:val="clear" w:color="auto" w:fill="FFFFFF"/>
        </w:rPr>
      </w:pPr>
    </w:p>
    <w:p w14:paraId="5397BC08"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Tami Flemmer, MSN, RN, CPHRM</w:t>
      </w:r>
    </w:p>
    <w:p w14:paraId="7F1553DF"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Senior Director Risk Management</w:t>
      </w:r>
    </w:p>
    <w:p w14:paraId="703F9176"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Bismarck</w:t>
      </w:r>
    </w:p>
    <w:p w14:paraId="51BC5B05"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Sanford Health</w:t>
      </w:r>
    </w:p>
    <w:p w14:paraId="41FCB219" w14:textId="77777777" w:rsidR="00E44872" w:rsidRPr="00E44872" w:rsidRDefault="00E44872" w:rsidP="00E44872">
      <w:pPr>
        <w:rPr>
          <w:rFonts w:eastAsia="Times New Roman" w:cs="Arial"/>
          <w:color w:val="696969"/>
          <w:sz w:val="22"/>
          <w:szCs w:val="28"/>
          <w:shd w:val="clear" w:color="auto" w:fill="FFFFFF"/>
        </w:rPr>
      </w:pPr>
    </w:p>
    <w:p w14:paraId="16493669"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A. Joy Rivera, PhD</w:t>
      </w:r>
    </w:p>
    <w:p w14:paraId="11B91F02"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 xml:space="preserve">Human Factors Engineer, </w:t>
      </w:r>
    </w:p>
    <w:p w14:paraId="05E7406F"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 xml:space="preserve">Executive Director, Patient Safety &amp; Patient Relations </w:t>
      </w:r>
    </w:p>
    <w:p w14:paraId="139F985A"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 xml:space="preserve">Froedtert Health </w:t>
      </w:r>
    </w:p>
    <w:p w14:paraId="6CA466BF" w14:textId="77777777" w:rsidR="00E44872" w:rsidRPr="00E44872" w:rsidRDefault="00E44872" w:rsidP="00E44872">
      <w:pPr>
        <w:rPr>
          <w:rFonts w:eastAsia="Times New Roman" w:cs="Arial"/>
          <w:color w:val="696969"/>
          <w:sz w:val="22"/>
          <w:szCs w:val="28"/>
          <w:shd w:val="clear" w:color="auto" w:fill="FFFFFF"/>
        </w:rPr>
      </w:pPr>
    </w:p>
    <w:p w14:paraId="7A06941C"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Markan-Aurora, Sumita, MD</w:t>
      </w:r>
    </w:p>
    <w:p w14:paraId="696CF792"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System Director, Patient Safety and Clinical Outcomes</w:t>
      </w:r>
    </w:p>
    <w:p w14:paraId="1462908E"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 xml:space="preserve">SSM Health </w:t>
      </w:r>
    </w:p>
    <w:p w14:paraId="24505C5F" w14:textId="77777777" w:rsidR="00E44872" w:rsidRPr="00E44872" w:rsidRDefault="00E44872" w:rsidP="00E44872">
      <w:pPr>
        <w:rPr>
          <w:rFonts w:eastAsia="Times New Roman" w:cs="Arial"/>
          <w:color w:val="696969"/>
          <w:sz w:val="22"/>
          <w:szCs w:val="28"/>
          <w:shd w:val="clear" w:color="auto" w:fill="FFFFFF"/>
        </w:rPr>
      </w:pPr>
    </w:p>
    <w:p w14:paraId="39F4789C"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Craig Clapper, PE</w:t>
      </w:r>
    </w:p>
    <w:p w14:paraId="72C3D92D"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Executive advisor</w:t>
      </w:r>
    </w:p>
    <w:p w14:paraId="5E6F91C0" w14:textId="77777777" w:rsidR="00E44872" w:rsidRPr="00E44872" w:rsidRDefault="00E44872" w:rsidP="00E44872">
      <w:pPr>
        <w:rPr>
          <w:rFonts w:eastAsia="Times New Roman" w:cs="Arial"/>
          <w:color w:val="696969"/>
          <w:sz w:val="22"/>
          <w:szCs w:val="28"/>
          <w:shd w:val="clear" w:color="auto" w:fill="FFFFFF"/>
        </w:rPr>
      </w:pPr>
      <w:r w:rsidRPr="00E44872">
        <w:rPr>
          <w:rFonts w:eastAsia="Times New Roman" w:cs="Arial"/>
          <w:color w:val="696969"/>
          <w:sz w:val="22"/>
          <w:szCs w:val="28"/>
          <w:shd w:val="clear" w:color="auto" w:fill="FFFFFF"/>
        </w:rPr>
        <w:t xml:space="preserve">SSM Health </w:t>
      </w:r>
    </w:p>
    <w:p w14:paraId="1B4D9EB9" w14:textId="77777777" w:rsidR="00190167" w:rsidRPr="004329C1" w:rsidRDefault="00190167" w:rsidP="004329C1"/>
    <w:p w14:paraId="0BCED9E1" w14:textId="77777777" w:rsidR="00190167" w:rsidRPr="0044141B" w:rsidRDefault="00190167" w:rsidP="0044141B">
      <w:pPr>
        <w:pStyle w:val="BodyText1"/>
        <w:rPr>
          <w:b/>
          <w:bCs/>
          <w:color w:val="FF4E00" w:themeColor="accent1"/>
          <w:sz w:val="24"/>
          <w:szCs w:val="24"/>
        </w:rPr>
      </w:pPr>
      <w:r w:rsidRPr="0044141B">
        <w:rPr>
          <w:b/>
          <w:bCs/>
          <w:color w:val="FF4E00" w:themeColor="accent1"/>
          <w:sz w:val="24"/>
          <w:szCs w:val="24"/>
        </w:rPr>
        <w:t xml:space="preserve">Statement of content validity </w:t>
      </w:r>
    </w:p>
    <w:p w14:paraId="198948D5" w14:textId="77777777" w:rsidR="00190167" w:rsidRPr="0044141B" w:rsidRDefault="00190167" w:rsidP="00AE30DB">
      <w:pPr>
        <w:spacing w:after="160"/>
        <w:rPr>
          <w:rFonts w:eastAsia="Calibri" w:cs="Arial"/>
          <w:bCs/>
          <w:color w:val="696969" w:themeColor="accent6"/>
          <w:sz w:val="22"/>
          <w:szCs w:val="22"/>
        </w:rPr>
      </w:pPr>
      <w:r w:rsidRPr="0044141B">
        <w:rPr>
          <w:rFonts w:eastAsia="Calibri" w:cs="Arial"/>
          <w:bCs/>
          <w:color w:val="696969" w:themeColor="accent6"/>
          <w:sz w:val="22"/>
          <w:szCs w:val="22"/>
        </w:rPr>
        <w:t xml:space="preserve">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w:t>
      </w:r>
      <w:r w:rsidRPr="0044141B">
        <w:rPr>
          <w:rFonts w:eastAsia="Calibri" w:cs="Arial"/>
          <w:bCs/>
          <w:color w:val="696969" w:themeColor="accent6"/>
          <w:sz w:val="22"/>
          <w:szCs w:val="22"/>
        </w:rPr>
        <w:lastRenderedPageBreak/>
        <w:t>have risks or dangers that outweigh the benefits or are known to be ineffective in the treatment of patients.</w:t>
      </w:r>
    </w:p>
    <w:p w14:paraId="42BBE0C8" w14:textId="77777777" w:rsidR="00190167" w:rsidRPr="00912146" w:rsidRDefault="00190167" w:rsidP="00AE30DB">
      <w:pPr>
        <w:rPr>
          <w:rFonts w:eastAsia="Calibri" w:cs="Arial"/>
          <w:bCs/>
          <w:color w:val="696969" w:themeColor="accent6"/>
          <w:szCs w:val="20"/>
        </w:rPr>
      </w:pPr>
    </w:p>
    <w:p w14:paraId="3CAB247C" w14:textId="77777777" w:rsidR="00190167" w:rsidRPr="00912146" w:rsidRDefault="00190167" w:rsidP="00AE30DB">
      <w:pPr>
        <w:spacing w:after="160"/>
        <w:rPr>
          <w:rFonts w:eastAsia="Calibri" w:cs="Arial"/>
          <w:bCs/>
          <w:color w:val="696969" w:themeColor="accent6"/>
          <w:szCs w:val="20"/>
        </w:rPr>
      </w:pPr>
      <w:r w:rsidRPr="00912146">
        <w:rPr>
          <w:rFonts w:eastAsia="Calibri" w:cs="Arial"/>
          <w:b/>
          <w:color w:val="FF4E00"/>
          <w:sz w:val="24"/>
        </w:rPr>
        <w:t>FDA off-label/unapproved usage</w:t>
      </w:r>
    </w:p>
    <w:p w14:paraId="0CA37BFF" w14:textId="77777777" w:rsidR="00190167" w:rsidRPr="0044141B" w:rsidRDefault="00190167" w:rsidP="00AE30DB">
      <w:pPr>
        <w:spacing w:after="160"/>
        <w:rPr>
          <w:rFonts w:eastAsia="Calibri" w:cs="Arial"/>
          <w:bCs/>
          <w:color w:val="696969" w:themeColor="accent6"/>
          <w:sz w:val="22"/>
          <w:szCs w:val="22"/>
        </w:rPr>
      </w:pPr>
      <w:r w:rsidRPr="0044141B">
        <w:rPr>
          <w:rFonts w:eastAsia="Calibri" w:cs="Arial"/>
          <w:bCs/>
          <w:color w:val="696969" w:themeColor="accent6"/>
          <w:sz w:val="22"/>
          <w:szCs w:val="22"/>
        </w:rPr>
        <w:t>Faculty/Presenters are required to identify any new and evolving topics for which there is a lower/absence of evidence base. This is to ensure that our content does not advocate for, or promote, practices that are not, or not yet adequately based on current science, evidence, and clinical reasoning. Faculty/Presenters are required to disclose any discussion of (1) off-label/unapproved or investigational uses of FDA approved commercial products or devices and/or (2) products or devices not yet approved in the United States.</w:t>
      </w:r>
    </w:p>
    <w:p w14:paraId="76D89C08" w14:textId="77777777" w:rsidR="00190167" w:rsidRDefault="00190167" w:rsidP="0044141B">
      <w:pPr>
        <w:rPr>
          <w:b/>
          <w:bCs/>
          <w:color w:val="FF4E00" w:themeColor="accent1"/>
          <w:sz w:val="28"/>
          <w:szCs w:val="28"/>
        </w:rPr>
      </w:pPr>
    </w:p>
    <w:p w14:paraId="6EE6DA29" w14:textId="77777777" w:rsidR="00190167" w:rsidRPr="0044141B" w:rsidRDefault="00190167" w:rsidP="0044141B">
      <w:pPr>
        <w:rPr>
          <w:b/>
          <w:bCs/>
          <w:color w:val="FF4E00" w:themeColor="accent1"/>
          <w:sz w:val="24"/>
        </w:rPr>
      </w:pPr>
      <w:r w:rsidRPr="0044141B">
        <w:rPr>
          <w:b/>
          <w:bCs/>
          <w:color w:val="FF4E00" w:themeColor="accent1"/>
          <w:sz w:val="24"/>
        </w:rPr>
        <w:t>Disclaimer</w:t>
      </w:r>
    </w:p>
    <w:p w14:paraId="294C4F75" w14:textId="77777777" w:rsidR="00190167" w:rsidRDefault="00190167" w:rsidP="0044141B">
      <w:pPr>
        <w:rPr>
          <w:color w:val="696969" w:themeColor="text2"/>
        </w:rPr>
      </w:pPr>
    </w:p>
    <w:p w14:paraId="27AE1387" w14:textId="2710CA71" w:rsidR="00190167" w:rsidRPr="00253665" w:rsidRDefault="00190167" w:rsidP="00AE30DB">
      <w:pPr>
        <w:rPr>
          <w:color w:val="696969" w:themeColor="text2"/>
          <w:sz w:val="22"/>
          <w:szCs w:val="28"/>
        </w:rPr>
        <w:sectPr w:rsidR="00190167" w:rsidRPr="00253665" w:rsidSect="00190167">
          <w:headerReference w:type="even" r:id="rId37"/>
          <w:headerReference w:type="default" r:id="rId38"/>
          <w:footerReference w:type="default" r:id="rId39"/>
          <w:pgSz w:w="12240" w:h="15840"/>
          <w:pgMar w:top="1440" w:right="1080" w:bottom="1440" w:left="1080" w:header="630" w:footer="965" w:gutter="0"/>
          <w:pgNumType w:start="1"/>
          <w:cols w:space="720"/>
          <w:docGrid w:linePitch="360"/>
        </w:sectPr>
      </w:pPr>
      <w:r w:rsidRPr="0044141B">
        <w:rPr>
          <w:color w:val="696969" w:themeColor="text2"/>
          <w:sz w:val="22"/>
          <w:szCs w:val="28"/>
        </w:rPr>
        <w:t>The education provided through this activity is for continuing education purposes only. The views and opinions expressed in this activity are those of the faculty/presenters and do not necessarily reflect the views of Vizient, Inc.</w:t>
      </w:r>
    </w:p>
    <w:p w14:paraId="5C2FEC4C" w14:textId="77777777" w:rsidR="00190167" w:rsidRDefault="00190167" w:rsidP="00AE30DB"/>
    <w:sectPr w:rsidR="00190167" w:rsidSect="00190167">
      <w:headerReference w:type="even" r:id="rId40"/>
      <w:headerReference w:type="default" r:id="rId41"/>
      <w:footerReference w:type="default" r:id="rId42"/>
      <w:type w:val="continuous"/>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EADA" w14:textId="77777777" w:rsidR="0063766C" w:rsidRDefault="0063766C" w:rsidP="00971D43">
      <w:r>
        <w:separator/>
      </w:r>
    </w:p>
  </w:endnote>
  <w:endnote w:type="continuationSeparator" w:id="0">
    <w:p w14:paraId="38E1A7FA" w14:textId="77777777" w:rsidR="0063766C" w:rsidRDefault="0063766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F9A1" w14:textId="77777777" w:rsidR="00190167" w:rsidRPr="00654283" w:rsidRDefault="00190167"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Pr>
        <w:rFonts w:cs="Arial"/>
        <w:b w:val="0"/>
        <w:i w:val="0"/>
        <w:color w:val="696969"/>
        <w:sz w:val="13"/>
        <w:szCs w:val="13"/>
      </w:rPr>
      <w:t>07/17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7B2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A06D" w14:textId="77777777" w:rsidR="0063766C" w:rsidRDefault="0063766C" w:rsidP="00971D43">
      <w:r>
        <w:separator/>
      </w:r>
    </w:p>
  </w:footnote>
  <w:footnote w:type="continuationSeparator" w:id="0">
    <w:p w14:paraId="126137A3" w14:textId="77777777" w:rsidR="0063766C" w:rsidRDefault="0063766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BB22" w14:textId="77777777" w:rsidR="00190167" w:rsidRDefault="0019016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2DDC" w14:textId="77777777" w:rsidR="00190167" w:rsidRPr="002B3983" w:rsidRDefault="00190167" w:rsidP="00307785">
    <w:pPr>
      <w:pStyle w:val="Header"/>
      <w:jc w:val="right"/>
    </w:pPr>
    <w:r>
      <w:rPr>
        <w:noProof/>
      </w:rPr>
      <w:drawing>
        <wp:inline distT="0" distB="0" distL="0" distR="0" wp14:anchorId="4A9F9096" wp14:editId="667A94BE">
          <wp:extent cx="1266190" cy="31559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2704" w14:textId="77777777" w:rsidR="003E1362" w:rsidRDefault="003E1362">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E7E0" w14:textId="77777777" w:rsidR="003E1362" w:rsidRPr="002B3983" w:rsidRDefault="00307785" w:rsidP="00307785">
    <w:pPr>
      <w:pStyle w:val="Header"/>
      <w:jc w:val="right"/>
    </w:pPr>
    <w:r>
      <w:rPr>
        <w:noProof/>
      </w:rPr>
      <w:drawing>
        <wp:inline distT="0" distB="0" distL="0" distR="0" wp14:anchorId="07A93D74" wp14:editId="02A74B5C">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A4C"/>
    <w:multiLevelType w:val="hybridMultilevel"/>
    <w:tmpl w:val="F096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2E552B59"/>
    <w:multiLevelType w:val="hybridMultilevel"/>
    <w:tmpl w:val="46F8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20990"/>
    <w:multiLevelType w:val="hybridMultilevel"/>
    <w:tmpl w:val="3580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46BF599B"/>
    <w:multiLevelType w:val="hybridMultilevel"/>
    <w:tmpl w:val="D3C0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5" w15:restartNumberingAfterBreak="1">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581E49B5"/>
    <w:multiLevelType w:val="multilevel"/>
    <w:tmpl w:val="F9E8015C"/>
    <w:lvl w:ilvl="0">
      <w:start w:val="1"/>
      <w:numFmt w:val="bullet"/>
      <w:lvlText w:val=""/>
      <w:lvlJc w:val="left"/>
      <w:pPr>
        <w:tabs>
          <w:tab w:val="num" w:pos="720"/>
        </w:tabs>
        <w:ind w:left="720" w:hanging="360"/>
      </w:pPr>
      <w:rPr>
        <w:rFonts w:ascii="Symbol" w:hAnsi="Symbol" w:hint="default"/>
        <w:color w:val="696969"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8" w15:restartNumberingAfterBreak="1">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BE33AED"/>
    <w:multiLevelType w:val="hybridMultilevel"/>
    <w:tmpl w:val="CF30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6E4C395E"/>
    <w:multiLevelType w:val="multilevel"/>
    <w:tmpl w:val="556C66E6"/>
    <w:lvl w:ilvl="0">
      <w:start w:val="1"/>
      <w:numFmt w:val="bullet"/>
      <w:lvlText w:val=""/>
      <w:lvlJc w:val="left"/>
      <w:pPr>
        <w:tabs>
          <w:tab w:val="num" w:pos="720"/>
        </w:tabs>
        <w:ind w:left="720" w:hanging="360"/>
      </w:pPr>
      <w:rPr>
        <w:rFonts w:ascii="Symbol" w:hAnsi="Symbol" w:hint="default"/>
        <w:color w:val="696969"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433733">
    <w:abstractNumId w:val="7"/>
  </w:num>
  <w:num w:numId="2" w16cid:durableId="286668401">
    <w:abstractNumId w:val="8"/>
  </w:num>
  <w:num w:numId="3" w16cid:durableId="1016804344">
    <w:abstractNumId w:val="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16cid:durableId="1429816282">
    <w:abstractNumId w:val="5"/>
  </w:num>
  <w:num w:numId="5" w16cid:durableId="1093165639">
    <w:abstractNumId w:val="6"/>
  </w:num>
  <w:num w:numId="6" w16cid:durableId="1654598915">
    <w:abstractNumId w:val="10"/>
  </w:num>
  <w:num w:numId="7" w16cid:durableId="1084061740">
    <w:abstractNumId w:val="3"/>
  </w:num>
  <w:num w:numId="8" w16cid:durableId="199360531">
    <w:abstractNumId w:val="1"/>
  </w:num>
  <w:num w:numId="9" w16cid:durableId="1407997606">
    <w:abstractNumId w:val="9"/>
  </w:num>
  <w:num w:numId="10" w16cid:durableId="1181818198">
    <w:abstractNumId w:val="0"/>
  </w:num>
  <w:num w:numId="11" w16cid:durableId="78284957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3F19"/>
    <w:rsid w:val="00056A0F"/>
    <w:rsid w:val="00060A68"/>
    <w:rsid w:val="00060DE0"/>
    <w:rsid w:val="00065834"/>
    <w:rsid w:val="000765B6"/>
    <w:rsid w:val="0009132C"/>
    <w:rsid w:val="000937C6"/>
    <w:rsid w:val="00095B16"/>
    <w:rsid w:val="000970CD"/>
    <w:rsid w:val="000C3C8A"/>
    <w:rsid w:val="000C5628"/>
    <w:rsid w:val="000D2292"/>
    <w:rsid w:val="000D4275"/>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90167"/>
    <w:rsid w:val="001D0E17"/>
    <w:rsid w:val="001D2425"/>
    <w:rsid w:val="001D3415"/>
    <w:rsid w:val="001D37B1"/>
    <w:rsid w:val="001D56DD"/>
    <w:rsid w:val="001F0E95"/>
    <w:rsid w:val="001F5E4B"/>
    <w:rsid w:val="00200804"/>
    <w:rsid w:val="00200BDE"/>
    <w:rsid w:val="00211BA3"/>
    <w:rsid w:val="00211EFB"/>
    <w:rsid w:val="002210D7"/>
    <w:rsid w:val="00231702"/>
    <w:rsid w:val="00236177"/>
    <w:rsid w:val="00253665"/>
    <w:rsid w:val="00273E1B"/>
    <w:rsid w:val="00275F4D"/>
    <w:rsid w:val="00277521"/>
    <w:rsid w:val="0029361D"/>
    <w:rsid w:val="002B3983"/>
    <w:rsid w:val="002C549F"/>
    <w:rsid w:val="002D0D3A"/>
    <w:rsid w:val="002D2FCE"/>
    <w:rsid w:val="002D3C69"/>
    <w:rsid w:val="002E26E9"/>
    <w:rsid w:val="002E5346"/>
    <w:rsid w:val="002E5B06"/>
    <w:rsid w:val="00304F4B"/>
    <w:rsid w:val="00307785"/>
    <w:rsid w:val="00312693"/>
    <w:rsid w:val="00315D23"/>
    <w:rsid w:val="00316BC2"/>
    <w:rsid w:val="003259A5"/>
    <w:rsid w:val="00330B71"/>
    <w:rsid w:val="003404C7"/>
    <w:rsid w:val="00350D84"/>
    <w:rsid w:val="003514D7"/>
    <w:rsid w:val="0035174D"/>
    <w:rsid w:val="003539AF"/>
    <w:rsid w:val="003622CE"/>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29C1"/>
    <w:rsid w:val="00435E61"/>
    <w:rsid w:val="0043610D"/>
    <w:rsid w:val="0044141B"/>
    <w:rsid w:val="004463DA"/>
    <w:rsid w:val="004506E7"/>
    <w:rsid w:val="00450C29"/>
    <w:rsid w:val="00451C91"/>
    <w:rsid w:val="00452B25"/>
    <w:rsid w:val="00453896"/>
    <w:rsid w:val="00460D9F"/>
    <w:rsid w:val="00463FCD"/>
    <w:rsid w:val="004722C1"/>
    <w:rsid w:val="004747C2"/>
    <w:rsid w:val="004814ED"/>
    <w:rsid w:val="0048354F"/>
    <w:rsid w:val="00486539"/>
    <w:rsid w:val="004A294A"/>
    <w:rsid w:val="004A35F8"/>
    <w:rsid w:val="004A5394"/>
    <w:rsid w:val="004A60B8"/>
    <w:rsid w:val="004A677D"/>
    <w:rsid w:val="004B0F88"/>
    <w:rsid w:val="004B3F48"/>
    <w:rsid w:val="004C3FD4"/>
    <w:rsid w:val="004C74DB"/>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66D60"/>
    <w:rsid w:val="00577A19"/>
    <w:rsid w:val="00586A2D"/>
    <w:rsid w:val="00586A82"/>
    <w:rsid w:val="00587434"/>
    <w:rsid w:val="0059060D"/>
    <w:rsid w:val="00592B90"/>
    <w:rsid w:val="005A78EF"/>
    <w:rsid w:val="005C5387"/>
    <w:rsid w:val="005E0578"/>
    <w:rsid w:val="005F37E5"/>
    <w:rsid w:val="005F3EA9"/>
    <w:rsid w:val="005F53FC"/>
    <w:rsid w:val="005F7196"/>
    <w:rsid w:val="00607C19"/>
    <w:rsid w:val="0061038F"/>
    <w:rsid w:val="00612814"/>
    <w:rsid w:val="0063036E"/>
    <w:rsid w:val="00636E51"/>
    <w:rsid w:val="0063766C"/>
    <w:rsid w:val="00642B45"/>
    <w:rsid w:val="00654283"/>
    <w:rsid w:val="006775CF"/>
    <w:rsid w:val="00696BCD"/>
    <w:rsid w:val="006A5297"/>
    <w:rsid w:val="006A6544"/>
    <w:rsid w:val="006B43B7"/>
    <w:rsid w:val="006B6BF5"/>
    <w:rsid w:val="006B7975"/>
    <w:rsid w:val="006C2361"/>
    <w:rsid w:val="006E3F56"/>
    <w:rsid w:val="006F020F"/>
    <w:rsid w:val="006F1E6D"/>
    <w:rsid w:val="00707853"/>
    <w:rsid w:val="00714301"/>
    <w:rsid w:val="00715300"/>
    <w:rsid w:val="007158FC"/>
    <w:rsid w:val="00723601"/>
    <w:rsid w:val="00735253"/>
    <w:rsid w:val="007377DF"/>
    <w:rsid w:val="0074065A"/>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8F26FD"/>
    <w:rsid w:val="00906C01"/>
    <w:rsid w:val="00912146"/>
    <w:rsid w:val="009225E4"/>
    <w:rsid w:val="00926BE3"/>
    <w:rsid w:val="00927A00"/>
    <w:rsid w:val="00931508"/>
    <w:rsid w:val="009322F6"/>
    <w:rsid w:val="00950E4E"/>
    <w:rsid w:val="00952F89"/>
    <w:rsid w:val="00953443"/>
    <w:rsid w:val="00963CDE"/>
    <w:rsid w:val="00971D43"/>
    <w:rsid w:val="00980A48"/>
    <w:rsid w:val="00987B49"/>
    <w:rsid w:val="0099779C"/>
    <w:rsid w:val="009A27BF"/>
    <w:rsid w:val="009A7E1B"/>
    <w:rsid w:val="009A7E9D"/>
    <w:rsid w:val="009B2BA5"/>
    <w:rsid w:val="009B5CB1"/>
    <w:rsid w:val="009B6D1A"/>
    <w:rsid w:val="009D4020"/>
    <w:rsid w:val="009F4A49"/>
    <w:rsid w:val="00A00028"/>
    <w:rsid w:val="00A25AFA"/>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30DB"/>
    <w:rsid w:val="00AE5182"/>
    <w:rsid w:val="00AF32FC"/>
    <w:rsid w:val="00AF364E"/>
    <w:rsid w:val="00AF3AF2"/>
    <w:rsid w:val="00AF44C9"/>
    <w:rsid w:val="00B04281"/>
    <w:rsid w:val="00B1796A"/>
    <w:rsid w:val="00B213B6"/>
    <w:rsid w:val="00B3199E"/>
    <w:rsid w:val="00B43983"/>
    <w:rsid w:val="00B52641"/>
    <w:rsid w:val="00B640EE"/>
    <w:rsid w:val="00B65EAB"/>
    <w:rsid w:val="00B70FE0"/>
    <w:rsid w:val="00B75EF3"/>
    <w:rsid w:val="00B7767D"/>
    <w:rsid w:val="00B82B14"/>
    <w:rsid w:val="00B82EE5"/>
    <w:rsid w:val="00B914EC"/>
    <w:rsid w:val="00B9413D"/>
    <w:rsid w:val="00BA2D73"/>
    <w:rsid w:val="00BA39D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4569"/>
    <w:rsid w:val="00CB537E"/>
    <w:rsid w:val="00CC182A"/>
    <w:rsid w:val="00CC289B"/>
    <w:rsid w:val="00CC3A07"/>
    <w:rsid w:val="00CD118E"/>
    <w:rsid w:val="00CD18C0"/>
    <w:rsid w:val="00CD7F45"/>
    <w:rsid w:val="00CF09AC"/>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30FB6"/>
    <w:rsid w:val="00E435CD"/>
    <w:rsid w:val="00E44872"/>
    <w:rsid w:val="00E47D10"/>
    <w:rsid w:val="00E50346"/>
    <w:rsid w:val="00E609BA"/>
    <w:rsid w:val="00E63522"/>
    <w:rsid w:val="00E63D33"/>
    <w:rsid w:val="00E64E1E"/>
    <w:rsid w:val="00E6655D"/>
    <w:rsid w:val="00E70FEE"/>
    <w:rsid w:val="00E815A2"/>
    <w:rsid w:val="00E81A91"/>
    <w:rsid w:val="00EA0EB6"/>
    <w:rsid w:val="00EA13B8"/>
    <w:rsid w:val="00EA4885"/>
    <w:rsid w:val="00EC0481"/>
    <w:rsid w:val="00EC0593"/>
    <w:rsid w:val="00EC33B5"/>
    <w:rsid w:val="00ED0769"/>
    <w:rsid w:val="00ED457B"/>
    <w:rsid w:val="00ED6AE4"/>
    <w:rsid w:val="00EF51E1"/>
    <w:rsid w:val="00F146F1"/>
    <w:rsid w:val="00F20160"/>
    <w:rsid w:val="00F206F3"/>
    <w:rsid w:val="00F23794"/>
    <w:rsid w:val="00F25D28"/>
    <w:rsid w:val="00F374BD"/>
    <w:rsid w:val="00F40406"/>
    <w:rsid w:val="00F4230E"/>
    <w:rsid w:val="00F45D18"/>
    <w:rsid w:val="00F479F7"/>
    <w:rsid w:val="00F47F98"/>
    <w:rsid w:val="00F6315D"/>
    <w:rsid w:val="00F63FFC"/>
    <w:rsid w:val="00F739D0"/>
    <w:rsid w:val="00F748D1"/>
    <w:rsid w:val="00F85FA6"/>
    <w:rsid w:val="00FB393D"/>
    <w:rsid w:val="00FC4202"/>
    <w:rsid w:val="00FD3B8D"/>
    <w:rsid w:val="00FD544F"/>
    <w:rsid w:val="00FE3941"/>
    <w:rsid w:val="00FE7D33"/>
    <w:rsid w:val="0E9FC241"/>
    <w:rsid w:val="42B86C27"/>
    <w:rsid w:val="7DF1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03AE57"/>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 w:type="paragraph" w:customStyle="1" w:styleId="VZTSubheadL1">
    <w:name w:val="VZT Subhead L1"/>
    <w:basedOn w:val="Normal"/>
    <w:rsid w:val="0044141B"/>
    <w:pPr>
      <w:autoSpaceDE w:val="0"/>
      <w:autoSpaceDN w:val="0"/>
      <w:adjustRightInd w:val="0"/>
      <w:spacing w:before="140" w:after="80" w:line="276" w:lineRule="auto"/>
    </w:pPr>
    <w:rPr>
      <w:rFonts w:eastAsia="Times New Roman" w:cs="Arial"/>
      <w:b/>
      <w:color w:val="01ADAB" w:themeColor="accent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235012729">
      <w:bodyDiv w:val="1"/>
      <w:marLeft w:val="0"/>
      <w:marRight w:val="0"/>
      <w:marTop w:val="0"/>
      <w:marBottom w:val="0"/>
      <w:divBdr>
        <w:top w:val="none" w:sz="0" w:space="0" w:color="auto"/>
        <w:left w:val="none" w:sz="0" w:space="0" w:color="auto"/>
        <w:bottom w:val="none" w:sz="0" w:space="0" w:color="auto"/>
        <w:right w:val="none" w:sz="0" w:space="0" w:color="auto"/>
      </w:divBdr>
      <w:divsChild>
        <w:div w:id="1446844195">
          <w:marLeft w:val="0"/>
          <w:marRight w:val="0"/>
          <w:marTop w:val="0"/>
          <w:marBottom w:val="0"/>
          <w:divBdr>
            <w:top w:val="none" w:sz="0" w:space="0" w:color="auto"/>
            <w:left w:val="none" w:sz="0" w:space="0" w:color="auto"/>
            <w:bottom w:val="none" w:sz="0" w:space="0" w:color="auto"/>
            <w:right w:val="none" w:sz="0" w:space="0" w:color="auto"/>
          </w:divBdr>
        </w:div>
        <w:div w:id="691959966">
          <w:marLeft w:val="0"/>
          <w:marRight w:val="0"/>
          <w:marTop w:val="0"/>
          <w:marBottom w:val="0"/>
          <w:divBdr>
            <w:top w:val="none" w:sz="0" w:space="0" w:color="auto"/>
            <w:left w:val="none" w:sz="0" w:space="0" w:color="auto"/>
            <w:bottom w:val="none" w:sz="0" w:space="0" w:color="auto"/>
            <w:right w:val="none" w:sz="0" w:space="0" w:color="auto"/>
          </w:divBdr>
        </w:div>
        <w:div w:id="1844970113">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1778212787">
          <w:marLeft w:val="0"/>
          <w:marRight w:val="0"/>
          <w:marTop w:val="0"/>
          <w:marBottom w:val="0"/>
          <w:divBdr>
            <w:top w:val="none" w:sz="0" w:space="0" w:color="auto"/>
            <w:left w:val="none" w:sz="0" w:space="0" w:color="auto"/>
            <w:bottom w:val="none" w:sz="0" w:space="0" w:color="auto"/>
            <w:right w:val="none" w:sz="0" w:space="0" w:color="auto"/>
          </w:divBdr>
        </w:div>
        <w:div w:id="175311421">
          <w:marLeft w:val="0"/>
          <w:marRight w:val="0"/>
          <w:marTop w:val="0"/>
          <w:marBottom w:val="0"/>
          <w:divBdr>
            <w:top w:val="none" w:sz="0" w:space="0" w:color="auto"/>
            <w:left w:val="none" w:sz="0" w:space="0" w:color="auto"/>
            <w:bottom w:val="none" w:sz="0" w:space="0" w:color="auto"/>
            <w:right w:val="none" w:sz="0" w:space="0" w:color="auto"/>
          </w:divBdr>
        </w:div>
        <w:div w:id="1383166334">
          <w:marLeft w:val="0"/>
          <w:marRight w:val="0"/>
          <w:marTop w:val="0"/>
          <w:marBottom w:val="0"/>
          <w:divBdr>
            <w:top w:val="none" w:sz="0" w:space="0" w:color="auto"/>
            <w:left w:val="none" w:sz="0" w:space="0" w:color="auto"/>
            <w:bottom w:val="none" w:sz="0" w:space="0" w:color="auto"/>
            <w:right w:val="none" w:sz="0" w:space="0" w:color="auto"/>
          </w:divBdr>
        </w:div>
        <w:div w:id="263810056">
          <w:marLeft w:val="0"/>
          <w:marRight w:val="0"/>
          <w:marTop w:val="0"/>
          <w:marBottom w:val="0"/>
          <w:divBdr>
            <w:top w:val="none" w:sz="0" w:space="0" w:color="auto"/>
            <w:left w:val="none" w:sz="0" w:space="0" w:color="auto"/>
            <w:bottom w:val="none" w:sz="0" w:space="0" w:color="auto"/>
            <w:right w:val="none" w:sz="0" w:space="0" w:color="auto"/>
          </w:divBdr>
        </w:div>
        <w:div w:id="380061417">
          <w:marLeft w:val="0"/>
          <w:marRight w:val="0"/>
          <w:marTop w:val="0"/>
          <w:marBottom w:val="0"/>
          <w:divBdr>
            <w:top w:val="none" w:sz="0" w:space="0" w:color="auto"/>
            <w:left w:val="none" w:sz="0" w:space="0" w:color="auto"/>
            <w:bottom w:val="none" w:sz="0" w:space="0" w:color="auto"/>
            <w:right w:val="none" w:sz="0" w:space="0" w:color="auto"/>
          </w:divBdr>
        </w:div>
        <w:div w:id="109133500">
          <w:marLeft w:val="0"/>
          <w:marRight w:val="0"/>
          <w:marTop w:val="0"/>
          <w:marBottom w:val="0"/>
          <w:divBdr>
            <w:top w:val="none" w:sz="0" w:space="0" w:color="auto"/>
            <w:left w:val="none" w:sz="0" w:space="0" w:color="auto"/>
            <w:bottom w:val="none" w:sz="0" w:space="0" w:color="auto"/>
            <w:right w:val="none" w:sz="0" w:space="0" w:color="auto"/>
          </w:divBdr>
        </w:div>
        <w:div w:id="1358003676">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552619282">
          <w:marLeft w:val="0"/>
          <w:marRight w:val="0"/>
          <w:marTop w:val="0"/>
          <w:marBottom w:val="0"/>
          <w:divBdr>
            <w:top w:val="none" w:sz="0" w:space="0" w:color="auto"/>
            <w:left w:val="none" w:sz="0" w:space="0" w:color="auto"/>
            <w:bottom w:val="none" w:sz="0" w:space="0" w:color="auto"/>
            <w:right w:val="none" w:sz="0" w:space="0" w:color="auto"/>
          </w:divBdr>
        </w:div>
        <w:div w:id="988899413">
          <w:marLeft w:val="0"/>
          <w:marRight w:val="0"/>
          <w:marTop w:val="0"/>
          <w:marBottom w:val="0"/>
          <w:divBdr>
            <w:top w:val="none" w:sz="0" w:space="0" w:color="auto"/>
            <w:left w:val="none" w:sz="0" w:space="0" w:color="auto"/>
            <w:bottom w:val="none" w:sz="0" w:space="0" w:color="auto"/>
            <w:right w:val="none" w:sz="0" w:space="0" w:color="auto"/>
          </w:divBdr>
        </w:div>
        <w:div w:id="740520715">
          <w:marLeft w:val="0"/>
          <w:marRight w:val="0"/>
          <w:marTop w:val="0"/>
          <w:marBottom w:val="0"/>
          <w:divBdr>
            <w:top w:val="none" w:sz="0" w:space="0" w:color="auto"/>
            <w:left w:val="none" w:sz="0" w:space="0" w:color="auto"/>
            <w:bottom w:val="none" w:sz="0" w:space="0" w:color="auto"/>
            <w:right w:val="none" w:sz="0" w:space="0" w:color="auto"/>
          </w:divBdr>
        </w:div>
        <w:div w:id="415129672">
          <w:marLeft w:val="0"/>
          <w:marRight w:val="0"/>
          <w:marTop w:val="0"/>
          <w:marBottom w:val="0"/>
          <w:divBdr>
            <w:top w:val="none" w:sz="0" w:space="0" w:color="auto"/>
            <w:left w:val="none" w:sz="0" w:space="0" w:color="auto"/>
            <w:bottom w:val="none" w:sz="0" w:space="0" w:color="auto"/>
            <w:right w:val="none" w:sz="0" w:space="0" w:color="auto"/>
          </w:divBdr>
        </w:div>
        <w:div w:id="1434782017">
          <w:marLeft w:val="0"/>
          <w:marRight w:val="0"/>
          <w:marTop w:val="0"/>
          <w:marBottom w:val="0"/>
          <w:divBdr>
            <w:top w:val="none" w:sz="0" w:space="0" w:color="auto"/>
            <w:left w:val="none" w:sz="0" w:space="0" w:color="auto"/>
            <w:bottom w:val="none" w:sz="0" w:space="0" w:color="auto"/>
            <w:right w:val="none" w:sz="0" w:space="0" w:color="auto"/>
          </w:divBdr>
        </w:div>
      </w:divsChild>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889418229">
      <w:bodyDiv w:val="1"/>
      <w:marLeft w:val="0"/>
      <w:marRight w:val="0"/>
      <w:marTop w:val="0"/>
      <w:marBottom w:val="0"/>
      <w:divBdr>
        <w:top w:val="none" w:sz="0" w:space="0" w:color="auto"/>
        <w:left w:val="none" w:sz="0" w:space="0" w:color="auto"/>
        <w:bottom w:val="none" w:sz="0" w:space="0" w:color="auto"/>
        <w:right w:val="none" w:sz="0" w:space="0" w:color="auto"/>
      </w:divBdr>
      <w:divsChild>
        <w:div w:id="634337327">
          <w:marLeft w:val="0"/>
          <w:marRight w:val="0"/>
          <w:marTop w:val="0"/>
          <w:marBottom w:val="0"/>
          <w:divBdr>
            <w:top w:val="none" w:sz="0" w:space="0" w:color="auto"/>
            <w:left w:val="none" w:sz="0" w:space="0" w:color="auto"/>
            <w:bottom w:val="none" w:sz="0" w:space="0" w:color="auto"/>
            <w:right w:val="none" w:sz="0" w:space="0" w:color="auto"/>
          </w:divBdr>
        </w:div>
        <w:div w:id="2113667352">
          <w:marLeft w:val="0"/>
          <w:marRight w:val="0"/>
          <w:marTop w:val="0"/>
          <w:marBottom w:val="0"/>
          <w:divBdr>
            <w:top w:val="none" w:sz="0" w:space="0" w:color="auto"/>
            <w:left w:val="none" w:sz="0" w:space="0" w:color="auto"/>
            <w:bottom w:val="none" w:sz="0" w:space="0" w:color="auto"/>
            <w:right w:val="none" w:sz="0" w:space="0" w:color="auto"/>
          </w:divBdr>
        </w:div>
      </w:divsChild>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s://continuingeducation.vizientinc.com/my/reported-credit" TargetMode="External"/><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yperlink" Target="mailto:help@nabp.pharmacy"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s://nabp.pharmacy/programs/cpe-monitor/"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s://continuingeducation.vizientinc.com/my/edit/profile"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SourceDataModel Name="System" TargetDataSourceId="00b80028-d226-4a39-9a19-6787589aad19"/>
</file>

<file path=customXml/item13.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AllWordPDs>
</AllWordPDs>
</file>

<file path=customXml/item16.xml><?xml version="1.0" encoding="utf-8"?>
<SourceDataModel Name="AD_HOC" TargetDataSourceId="80be7e5f-6e71-448c-9228-23264555308c"/>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VariableListDefinition name="System" displayName="System" id="dc9731b4-d0d2-4ed5-b20d-434d69de1706" isdomainofvalue="False" dataSourceId="00b80028-d226-4a39-9a19-6787589aad19"/>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ocPartTree/>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SourceDataModel Name="Computed" TargetDataSourceId="87651697-ca1f-4d80-9f69-bb743e325714"/>
</file>

<file path=customXml/item3.xml><?xml version="1.0" encoding="utf-8"?>
<VariableUsag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Metadata/>
</file>

<file path=customXml/item6.xml><?xml version="1.0" encoding="utf-8"?>
<AllExternalAdhocVariableMapping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5</Pages>
  <Words>1343</Words>
  <Characters>7661</Characters>
  <Application>Microsoft Office Word</Application>
  <DocSecurity>0</DocSecurity>
  <Lines>63</Lines>
  <Paragraphs>17</Paragraphs>
  <ScaleCrop>false</ScaleCrop>
  <Company>Vizient Inc.</Company>
  <LinksUpToDate>false</LinksUpToDate>
  <CharactersWithSpaces>8987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24</cp:revision>
  <cp:lastPrinted>2023-01-30T19:26:00Z</cp:lastPrinted>
  <dcterms:created xsi:type="dcterms:W3CDTF">2023-02-06T13:45:00Z</dcterms:created>
  <dcterms:modified xsi:type="dcterms:W3CDTF">2023-06-14T16:58:00Z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