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4C9C71"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2EE34E0D" w14:textId="77777777" w:rsidR="00456372" w:rsidRDefault="00456372" w:rsidP="004A294A">
      <w:pPr>
        <w:pStyle w:val="BodyText1"/>
        <w:rPr>
          <w:rFonts w:eastAsiaTheme="majorEastAsia" w:cstheme="majorBidi"/>
          <w:b/>
          <w:bCs/>
          <w:color w:val="01ADAB" w:themeColor="accent4"/>
          <w:sz w:val="28"/>
          <w:szCs w:val="28"/>
        </w:rPr>
      </w:pPr>
      <w:r w:rsidRPr="00456372">
        <w:rPr>
          <w:rFonts w:eastAsiaTheme="majorEastAsia" w:cstheme="majorBidi"/>
          <w:b/>
          <w:bCs/>
          <w:color w:val="01ADAB" w:themeColor="accent4"/>
          <w:sz w:val="28"/>
          <w:szCs w:val="28"/>
        </w:rPr>
        <w:t>“Using ‘Coffee Talk’ Style in Presenting to Residents” and “Innovations in Evidence Based Practice Projects Post- Pandemic”</w:t>
      </w:r>
    </w:p>
    <w:p w14:paraId="0D0DC3CD" w14:textId="2AB64E3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56372">
        <w:rPr>
          <w:color w:val="FF4E00" w:themeColor="accent1"/>
        </w:rPr>
        <w:t xml:space="preserve">April 27, 2023 </w:t>
      </w:r>
    </w:p>
    <w:p w14:paraId="641D3E3A" w14:textId="29AE7A2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56372">
        <w:rPr>
          <w:color w:val="FF4E00" w:themeColor="accent1"/>
        </w:rPr>
        <w:t>Meg Ingram</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0951D09"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456372" w:rsidRPr="00456372">
        <w:rPr>
          <w:rFonts w:cs="Arial"/>
          <w:b/>
          <w:bCs/>
          <w:color w:val="FF4E00" w:themeColor="accent1"/>
          <w:szCs w:val="20"/>
        </w:rPr>
        <w:t xml:space="preserve">June </w:t>
      </w:r>
      <w:r w:rsidR="00207EEB">
        <w:rPr>
          <w:rFonts w:cs="Arial"/>
          <w:b/>
          <w:bCs/>
          <w:color w:val="FF4E00" w:themeColor="accent1"/>
          <w:szCs w:val="20"/>
        </w:rPr>
        <w:t>11</w:t>
      </w:r>
      <w:r w:rsidR="00456372" w:rsidRPr="00456372">
        <w:rPr>
          <w:rFonts w:cs="Arial"/>
          <w:b/>
          <w:bCs/>
          <w:color w:val="FF4E00" w:themeColor="accent1"/>
          <w:szCs w:val="20"/>
        </w:rPr>
        <w:t>, 2023</w:t>
      </w:r>
      <w:r w:rsidRPr="00456372">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2A18AD94"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934F04">
        <w:rPr>
          <w:rFonts w:cs="Arial"/>
          <w:color w:val="595959" w:themeColor="text1" w:themeTint="A6"/>
          <w:szCs w:val="20"/>
        </w:rPr>
        <w:t>.</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70FEA547" w14:textId="77777777" w:rsidR="00456372" w:rsidRPr="00456372" w:rsidRDefault="00456372" w:rsidP="00456372">
      <w:pPr>
        <w:pStyle w:val="ListParagraph"/>
        <w:numPr>
          <w:ilvl w:val="0"/>
          <w:numId w:val="40"/>
        </w:numPr>
        <w:rPr>
          <w:rFonts w:eastAsia="Calibri" w:cs="Arial"/>
          <w:color w:val="595959" w:themeColor="text1" w:themeTint="A6"/>
          <w:szCs w:val="20"/>
        </w:rPr>
      </w:pPr>
      <w:r w:rsidRPr="00456372">
        <w:rPr>
          <w:rFonts w:eastAsia="Calibri" w:cs="Arial"/>
          <w:color w:val="595959" w:themeColor="text1" w:themeTint="A6"/>
          <w:szCs w:val="20"/>
        </w:rPr>
        <w:t xml:space="preserve">Describe how a coffee talk approach to virtual presentations, the use of storytelling and virtual engagement strategies improved virtual resident participation. </w:t>
      </w:r>
    </w:p>
    <w:p w14:paraId="74179584" w14:textId="77777777" w:rsidR="00456372" w:rsidRPr="00456372" w:rsidRDefault="00456372" w:rsidP="00456372">
      <w:pPr>
        <w:pStyle w:val="ListParagraph"/>
        <w:numPr>
          <w:ilvl w:val="0"/>
          <w:numId w:val="40"/>
        </w:numPr>
        <w:rPr>
          <w:rFonts w:eastAsia="Calibri" w:cs="Arial"/>
          <w:color w:val="595959" w:themeColor="text1" w:themeTint="A6"/>
          <w:szCs w:val="20"/>
        </w:rPr>
      </w:pPr>
      <w:r w:rsidRPr="00456372">
        <w:rPr>
          <w:rFonts w:eastAsia="Calibri" w:cs="Arial"/>
          <w:color w:val="595959" w:themeColor="text1" w:themeTint="A6"/>
          <w:szCs w:val="20"/>
        </w:rPr>
        <w:t xml:space="preserve">Identify innovative educational tools utilized in the implementation of EBP projects within the Nurse Residency Program (NRP). </w:t>
      </w:r>
    </w:p>
    <w:p w14:paraId="5BA35BDF" w14:textId="1A05CF6F" w:rsidR="0013180C" w:rsidRPr="00456372" w:rsidRDefault="00456372" w:rsidP="00456372">
      <w:pPr>
        <w:pStyle w:val="ListParagraph"/>
        <w:numPr>
          <w:ilvl w:val="0"/>
          <w:numId w:val="40"/>
        </w:numPr>
        <w:rPr>
          <w:color w:val="595959" w:themeColor="text1" w:themeTint="A6"/>
        </w:rPr>
      </w:pPr>
      <w:r w:rsidRPr="00456372">
        <w:rPr>
          <w:rFonts w:eastAsia="Calibri" w:cs="Arial"/>
          <w:color w:val="595959" w:themeColor="text1" w:themeTint="A6"/>
          <w:szCs w:val="20"/>
        </w:rPr>
        <w:t>Describe alternative methods for engaging nurse residents in the EBP project in large residency cohorts.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456372" w:rsidRDefault="0013180C" w:rsidP="0013180C">
      <w:pPr>
        <w:pStyle w:val="Heading4"/>
        <w:rPr>
          <w:rFonts w:cs="Arial"/>
          <w:color w:val="595959" w:themeColor="text1" w:themeTint="A6"/>
        </w:rPr>
      </w:pPr>
      <w:r w:rsidRPr="00456372">
        <w:rPr>
          <w:rFonts w:cs="Arial"/>
          <w:color w:val="595959" w:themeColor="text1" w:themeTint="A6"/>
        </w:rPr>
        <w:t>NURSING</w:t>
      </w:r>
    </w:p>
    <w:p w14:paraId="7B1BC326" w14:textId="36BE46E7" w:rsidR="0013180C" w:rsidRPr="00456372" w:rsidRDefault="0013180C" w:rsidP="0013180C">
      <w:pPr>
        <w:rPr>
          <w:rFonts w:cs="Arial"/>
          <w:color w:val="595959" w:themeColor="text1" w:themeTint="A6"/>
          <w:szCs w:val="20"/>
        </w:rPr>
      </w:pPr>
      <w:r w:rsidRPr="00456372">
        <w:rPr>
          <w:rFonts w:cs="Arial"/>
          <w:color w:val="595959" w:themeColor="text1" w:themeTint="A6"/>
          <w:szCs w:val="20"/>
        </w:rPr>
        <w:t xml:space="preserve">This activity is designated for 1.00 </w:t>
      </w:r>
      <w:r w:rsidR="00B82B14" w:rsidRPr="00456372">
        <w:rPr>
          <w:rFonts w:cs="Arial"/>
          <w:color w:val="595959" w:themeColor="text1" w:themeTint="A6"/>
          <w:szCs w:val="20"/>
        </w:rPr>
        <w:t xml:space="preserve">contact </w:t>
      </w:r>
      <w:r w:rsidRPr="00456372">
        <w:rPr>
          <w:rFonts w:cs="Arial"/>
          <w:color w:val="595959" w:themeColor="text1" w:themeTint="A6"/>
          <w:szCs w:val="20"/>
        </w:rPr>
        <w:t>hours.</w:t>
      </w:r>
    </w:p>
    <w:p w14:paraId="731A9598" w14:textId="77777777" w:rsidR="0013180C" w:rsidRPr="00456372"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456372">
        <w:rPr>
          <w:rFonts w:cs="Arial"/>
          <w:color w:val="595959" w:themeColor="text1" w:themeTint="A6"/>
          <w:szCs w:val="20"/>
        </w:rPr>
        <w:t>Vizient, Inc. is approved by the California Board of Registered Nursing, Provider Number CEP12580, for 1.</w:t>
      </w:r>
      <w:r w:rsidR="00C72E6C" w:rsidRPr="00456372">
        <w:rPr>
          <w:rFonts w:cs="Arial"/>
          <w:color w:val="595959" w:themeColor="text1" w:themeTint="A6"/>
          <w:szCs w:val="20"/>
        </w:rPr>
        <w:t>0</w:t>
      </w:r>
      <w:r w:rsidRPr="00456372">
        <w:rPr>
          <w:rFonts w:cs="Arial"/>
          <w:color w:val="595959" w:themeColor="text1" w:themeTint="A6"/>
          <w:szCs w:val="20"/>
        </w:rPr>
        <w:t>0 contact hours.</w:t>
      </w:r>
    </w:p>
    <w:p w14:paraId="00CF4BB6" w14:textId="77777777" w:rsidR="00456372" w:rsidRDefault="00456372" w:rsidP="7E8B3D31">
      <w:pPr>
        <w:spacing w:after="120"/>
        <w:rPr>
          <w:rFonts w:eastAsia="Times New Roman" w:cs="Arial"/>
          <w:color w:val="595959" w:themeColor="text1" w:themeTint="A6"/>
        </w:rPr>
      </w:pPr>
    </w:p>
    <w:p w14:paraId="28E5686B" w14:textId="3DDDCB5C" w:rsidR="00C9605F" w:rsidRPr="00145C63" w:rsidRDefault="00BE43F5" w:rsidP="7E8B3D31">
      <w:pPr>
        <w:spacing w:after="120"/>
        <w:rPr>
          <w:rFonts w:eastAsia="Times New Roman" w:cs="Arial"/>
          <w:color w:val="595959" w:themeColor="text1" w:themeTint="A6"/>
        </w:rPr>
      </w:pPr>
      <w:r w:rsidRPr="7E8B3D31">
        <w:rPr>
          <w:rFonts w:eastAsia="Times New Roman" w:cs="Arial"/>
          <w:color w:val="595959" w:themeColor="text1" w:themeTint="A6"/>
        </w:rPr>
        <w:t>OTHER</w:t>
      </w:r>
    </w:p>
    <w:p w14:paraId="2D8761E9" w14:textId="77D2CA19"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2B983CF1"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197DCC72"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Rachel Ward, MSN, RN, CEN, TCRN</w:t>
      </w:r>
    </w:p>
    <w:p w14:paraId="0A190304"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Clinical Educator, Emergency Department</w:t>
      </w:r>
    </w:p>
    <w:p w14:paraId="7C955C82"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Inova Fairfax Medical Campus</w:t>
      </w:r>
    </w:p>
    <w:p w14:paraId="090ADFF1" w14:textId="77777777" w:rsidR="00934F04" w:rsidRPr="00934F04" w:rsidRDefault="00934F04" w:rsidP="00934F04">
      <w:pPr>
        <w:pStyle w:val="Heading3"/>
        <w:spacing w:before="0"/>
        <w:rPr>
          <w:rFonts w:eastAsia="Calibri" w:cs="Arial"/>
          <w:b w:val="0"/>
          <w:bCs w:val="0"/>
          <w:color w:val="696969" w:themeColor="accent6"/>
          <w:szCs w:val="20"/>
        </w:rPr>
      </w:pPr>
    </w:p>
    <w:p w14:paraId="013DC5A5"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 xml:space="preserve">Emily </w:t>
      </w:r>
      <w:proofErr w:type="spellStart"/>
      <w:r w:rsidRPr="00934F04">
        <w:rPr>
          <w:rFonts w:eastAsia="Calibri" w:cs="Arial"/>
          <w:b w:val="0"/>
          <w:bCs w:val="0"/>
          <w:color w:val="696969" w:themeColor="accent6"/>
          <w:szCs w:val="20"/>
        </w:rPr>
        <w:t>Namesny</w:t>
      </w:r>
      <w:proofErr w:type="spellEnd"/>
      <w:r w:rsidRPr="00934F04">
        <w:rPr>
          <w:rFonts w:eastAsia="Calibri" w:cs="Arial"/>
          <w:b w:val="0"/>
          <w:bCs w:val="0"/>
          <w:color w:val="696969" w:themeColor="accent6"/>
          <w:szCs w:val="20"/>
        </w:rPr>
        <w:t>, MSN, WHNP, CMSRN, NPD-BC</w:t>
      </w:r>
    </w:p>
    <w:p w14:paraId="39D3FB0C"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Clinical Nurse Educator Med A, Med B, WSSU</w:t>
      </w:r>
    </w:p>
    <w:p w14:paraId="1452C65E"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Inova Fairfax Medical Campus</w:t>
      </w:r>
    </w:p>
    <w:p w14:paraId="4690BC45" w14:textId="77777777" w:rsidR="00934F04" w:rsidRPr="00934F04" w:rsidRDefault="00934F04" w:rsidP="00934F04">
      <w:pPr>
        <w:pStyle w:val="Heading3"/>
        <w:spacing w:before="0"/>
        <w:rPr>
          <w:rFonts w:eastAsia="Calibri" w:cs="Arial"/>
          <w:b w:val="0"/>
          <w:bCs w:val="0"/>
          <w:color w:val="696969" w:themeColor="accent6"/>
          <w:szCs w:val="20"/>
        </w:rPr>
      </w:pPr>
    </w:p>
    <w:p w14:paraId="39937EC8"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 xml:space="preserve">Stephanie </w:t>
      </w:r>
      <w:proofErr w:type="spellStart"/>
      <w:r w:rsidRPr="00934F04">
        <w:rPr>
          <w:rFonts w:eastAsia="Calibri" w:cs="Arial"/>
          <w:b w:val="0"/>
          <w:bCs w:val="0"/>
          <w:color w:val="696969" w:themeColor="accent6"/>
          <w:szCs w:val="20"/>
        </w:rPr>
        <w:t>Meletis</w:t>
      </w:r>
      <w:proofErr w:type="spellEnd"/>
      <w:r w:rsidRPr="00934F04">
        <w:rPr>
          <w:rFonts w:eastAsia="Calibri" w:cs="Arial"/>
          <w:b w:val="0"/>
          <w:bCs w:val="0"/>
          <w:color w:val="696969" w:themeColor="accent6"/>
          <w:szCs w:val="20"/>
        </w:rPr>
        <w:t>, DNP, RN, AGNP-C</w:t>
      </w:r>
    </w:p>
    <w:p w14:paraId="6A737EB8"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Clinical Nurse Educator, CCPP</w:t>
      </w:r>
    </w:p>
    <w:p w14:paraId="6BD13E4B"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University of Chicago Medicine</w:t>
      </w:r>
    </w:p>
    <w:p w14:paraId="554FC133" w14:textId="77777777" w:rsidR="00934F04" w:rsidRPr="00934F04" w:rsidRDefault="00934F04" w:rsidP="00934F04">
      <w:pPr>
        <w:pStyle w:val="Heading3"/>
        <w:spacing w:before="0"/>
        <w:rPr>
          <w:rFonts w:eastAsia="Calibri" w:cs="Arial"/>
          <w:b w:val="0"/>
          <w:bCs w:val="0"/>
          <w:color w:val="696969" w:themeColor="accent6"/>
          <w:szCs w:val="20"/>
        </w:rPr>
      </w:pPr>
    </w:p>
    <w:p w14:paraId="6FB3A867" w14:textId="77777777" w:rsidR="00934F04" w:rsidRPr="00934F04" w:rsidRDefault="00934F04" w:rsidP="00934F04">
      <w:pPr>
        <w:pStyle w:val="Heading3"/>
        <w:spacing w:before="0"/>
        <w:rPr>
          <w:rFonts w:eastAsia="Calibri" w:cs="Arial"/>
          <w:b w:val="0"/>
          <w:bCs w:val="0"/>
          <w:color w:val="696969" w:themeColor="accent6"/>
          <w:szCs w:val="20"/>
        </w:rPr>
      </w:pPr>
      <w:proofErr w:type="spellStart"/>
      <w:r w:rsidRPr="00934F04">
        <w:rPr>
          <w:rFonts w:eastAsia="Calibri" w:cs="Arial"/>
          <w:b w:val="0"/>
          <w:bCs w:val="0"/>
          <w:color w:val="696969" w:themeColor="accent6"/>
          <w:szCs w:val="20"/>
        </w:rPr>
        <w:t>Jilleen</w:t>
      </w:r>
      <w:proofErr w:type="spellEnd"/>
      <w:r w:rsidRPr="00934F04">
        <w:rPr>
          <w:rFonts w:eastAsia="Calibri" w:cs="Arial"/>
          <w:b w:val="0"/>
          <w:bCs w:val="0"/>
          <w:color w:val="696969" w:themeColor="accent6"/>
          <w:szCs w:val="20"/>
        </w:rPr>
        <w:t xml:space="preserve"> Gilmartin, BSN, RN, PCCN</w:t>
      </w:r>
    </w:p>
    <w:p w14:paraId="5A506051"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Clinical Nurse Educator</w:t>
      </w:r>
    </w:p>
    <w:p w14:paraId="6CAF7096" w14:textId="6F377767" w:rsidR="0009132C"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University of Chicago Medicine</w:t>
      </w:r>
    </w:p>
    <w:p w14:paraId="3DECAA79" w14:textId="77777777" w:rsidR="00934F04" w:rsidRPr="00934F04" w:rsidRDefault="00934F04" w:rsidP="00934F04"/>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4387EFEF" w14:textId="77777777" w:rsidR="00934F04" w:rsidRPr="00934F04" w:rsidRDefault="00934F04" w:rsidP="00934F04">
      <w:pPr>
        <w:pStyle w:val="Heading3"/>
        <w:spacing w:before="0"/>
        <w:rPr>
          <w:rFonts w:eastAsia="Calibri" w:cs="Arial"/>
          <w:b w:val="0"/>
          <w:bCs w:val="0"/>
          <w:color w:val="696969" w:themeColor="accent6"/>
          <w:szCs w:val="20"/>
        </w:rPr>
      </w:pPr>
      <w:bookmarkStart w:id="3" w:name="_Hlk109900071"/>
      <w:r w:rsidRPr="00934F04">
        <w:rPr>
          <w:rFonts w:eastAsia="Calibri" w:cs="Arial"/>
          <w:b w:val="0"/>
          <w:bCs w:val="0"/>
          <w:color w:val="696969" w:themeColor="accent6"/>
          <w:szCs w:val="20"/>
        </w:rPr>
        <w:t>Meg Ingram, MSN, RN</w:t>
      </w:r>
    </w:p>
    <w:p w14:paraId="510C8C59"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Sr Programmatic Advisor</w:t>
      </w:r>
    </w:p>
    <w:p w14:paraId="69711B14"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3328CBEC" w14:textId="77777777" w:rsidR="00934F04" w:rsidRPr="00934F04" w:rsidRDefault="00934F04" w:rsidP="00934F04">
      <w:pPr>
        <w:pStyle w:val="Heading3"/>
        <w:spacing w:before="0"/>
        <w:rPr>
          <w:rFonts w:eastAsia="Calibri" w:cs="Arial"/>
          <w:b w:val="0"/>
          <w:bCs w:val="0"/>
          <w:color w:val="696969" w:themeColor="accent6"/>
          <w:szCs w:val="20"/>
        </w:rPr>
      </w:pPr>
    </w:p>
    <w:p w14:paraId="3F23E7AA"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 xml:space="preserve">Angela </w:t>
      </w:r>
      <w:proofErr w:type="spellStart"/>
      <w:r w:rsidRPr="00934F04">
        <w:rPr>
          <w:rFonts w:eastAsia="Calibri" w:cs="Arial"/>
          <w:b w:val="0"/>
          <w:bCs w:val="0"/>
          <w:color w:val="696969" w:themeColor="accent6"/>
          <w:szCs w:val="20"/>
        </w:rPr>
        <w:t>Renkema</w:t>
      </w:r>
      <w:proofErr w:type="spellEnd"/>
      <w:r w:rsidRPr="00934F04">
        <w:rPr>
          <w:rFonts w:eastAsia="Calibri" w:cs="Arial"/>
          <w:b w:val="0"/>
          <w:bCs w:val="0"/>
          <w:color w:val="696969" w:themeColor="accent6"/>
          <w:szCs w:val="20"/>
        </w:rPr>
        <w:t>, MPH, BSN, RN, NPD-BC, CV-BC, CPH</w:t>
      </w:r>
    </w:p>
    <w:p w14:paraId="5F7B30CF"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Director, Programmatic Advisory Services</w:t>
      </w:r>
    </w:p>
    <w:p w14:paraId="140C5D0E"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395A8C1F" w14:textId="77777777" w:rsidR="00934F04" w:rsidRPr="00934F04" w:rsidRDefault="00934F04" w:rsidP="00934F04">
      <w:pPr>
        <w:pStyle w:val="Heading3"/>
        <w:spacing w:before="0"/>
        <w:rPr>
          <w:rFonts w:eastAsia="Calibri" w:cs="Arial"/>
          <w:b w:val="0"/>
          <w:bCs w:val="0"/>
          <w:color w:val="696969" w:themeColor="accent6"/>
          <w:szCs w:val="20"/>
        </w:rPr>
      </w:pPr>
    </w:p>
    <w:p w14:paraId="61BE5747"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 xml:space="preserve">Dana </w:t>
      </w:r>
      <w:proofErr w:type="spellStart"/>
      <w:r w:rsidRPr="00934F04">
        <w:rPr>
          <w:rFonts w:eastAsia="Calibri" w:cs="Arial"/>
          <w:b w:val="0"/>
          <w:bCs w:val="0"/>
          <w:color w:val="696969" w:themeColor="accent6"/>
          <w:szCs w:val="20"/>
        </w:rPr>
        <w:t>Garcher</w:t>
      </w:r>
      <w:proofErr w:type="spellEnd"/>
      <w:r w:rsidRPr="00934F04">
        <w:rPr>
          <w:rFonts w:eastAsia="Calibri" w:cs="Arial"/>
          <w:b w:val="0"/>
          <w:bCs w:val="0"/>
          <w:color w:val="696969" w:themeColor="accent6"/>
          <w:szCs w:val="20"/>
        </w:rPr>
        <w:t>, MS, RN</w:t>
      </w:r>
    </w:p>
    <w:p w14:paraId="5E272CB6"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Sr. Programmatic Advisor</w:t>
      </w:r>
    </w:p>
    <w:p w14:paraId="1FEB2DDE"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1C4B58C5" w14:textId="77777777" w:rsidR="00934F04" w:rsidRPr="00934F04" w:rsidRDefault="00934F04" w:rsidP="00934F04">
      <w:pPr>
        <w:pStyle w:val="Heading3"/>
        <w:spacing w:before="0"/>
        <w:rPr>
          <w:rFonts w:eastAsia="Calibri" w:cs="Arial"/>
          <w:b w:val="0"/>
          <w:bCs w:val="0"/>
          <w:color w:val="696969" w:themeColor="accent6"/>
          <w:szCs w:val="20"/>
        </w:rPr>
      </w:pPr>
    </w:p>
    <w:p w14:paraId="11993D1C"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Vickie Adams, MSN, RN, NPD-BC</w:t>
      </w:r>
    </w:p>
    <w:p w14:paraId="3ECA0FD9"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Sr. Programmatic Advisor</w:t>
      </w:r>
    </w:p>
    <w:p w14:paraId="68CEC5E8"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5F8B3975" w14:textId="77777777" w:rsidR="00934F04" w:rsidRPr="00934F04" w:rsidRDefault="00934F04" w:rsidP="00934F04">
      <w:pPr>
        <w:pStyle w:val="Heading3"/>
        <w:spacing w:before="0"/>
        <w:rPr>
          <w:rFonts w:eastAsia="Calibri" w:cs="Arial"/>
          <w:b w:val="0"/>
          <w:bCs w:val="0"/>
          <w:color w:val="696969" w:themeColor="accent6"/>
          <w:szCs w:val="20"/>
        </w:rPr>
      </w:pPr>
    </w:p>
    <w:p w14:paraId="7B283815"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Lindsay Ross, MSN, RN, NPD-BC, CMSRN</w:t>
      </w:r>
    </w:p>
    <w:p w14:paraId="50FC8420"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Sr. Programmatic Advisor</w:t>
      </w:r>
    </w:p>
    <w:p w14:paraId="02659B44"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0F0238CD" w14:textId="77777777" w:rsidR="00934F04" w:rsidRPr="00934F04" w:rsidRDefault="00934F04" w:rsidP="00934F04">
      <w:pPr>
        <w:pStyle w:val="Heading3"/>
        <w:spacing w:before="0"/>
        <w:rPr>
          <w:rFonts w:eastAsia="Calibri" w:cs="Arial"/>
          <w:b w:val="0"/>
          <w:bCs w:val="0"/>
          <w:color w:val="696969" w:themeColor="accent6"/>
          <w:szCs w:val="20"/>
        </w:rPr>
      </w:pPr>
    </w:p>
    <w:p w14:paraId="6349D3AF" w14:textId="77777777" w:rsidR="00934F04" w:rsidRPr="00934F04" w:rsidRDefault="00934F04" w:rsidP="00934F04">
      <w:pPr>
        <w:pStyle w:val="Heading3"/>
        <w:spacing w:before="0"/>
        <w:rPr>
          <w:rFonts w:eastAsia="Calibri" w:cs="Arial"/>
          <w:b w:val="0"/>
          <w:bCs w:val="0"/>
          <w:color w:val="696969" w:themeColor="accent6"/>
          <w:szCs w:val="20"/>
        </w:rPr>
      </w:pPr>
      <w:proofErr w:type="spellStart"/>
      <w:r w:rsidRPr="00934F04">
        <w:rPr>
          <w:rFonts w:eastAsia="Calibri" w:cs="Arial"/>
          <w:b w:val="0"/>
          <w:bCs w:val="0"/>
          <w:color w:val="696969" w:themeColor="accent6"/>
          <w:szCs w:val="20"/>
        </w:rPr>
        <w:t>Kaile</w:t>
      </w:r>
      <w:proofErr w:type="spellEnd"/>
      <w:r w:rsidRPr="00934F04">
        <w:rPr>
          <w:rFonts w:eastAsia="Calibri" w:cs="Arial"/>
          <w:b w:val="0"/>
          <w:bCs w:val="0"/>
          <w:color w:val="696969" w:themeColor="accent6"/>
          <w:szCs w:val="20"/>
        </w:rPr>
        <w:t xml:space="preserve"> Crawford, MSN, RN, NPD-BC</w:t>
      </w:r>
    </w:p>
    <w:p w14:paraId="224ACECC" w14:textId="77777777" w:rsidR="00934F04" w:rsidRPr="00934F04"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Sr. Programmatic Advisor</w:t>
      </w:r>
    </w:p>
    <w:p w14:paraId="7A9F27F3" w14:textId="1D1C6E56" w:rsidR="007B46F7" w:rsidRDefault="00934F04" w:rsidP="00934F04">
      <w:pPr>
        <w:pStyle w:val="Heading3"/>
        <w:spacing w:before="0"/>
        <w:rPr>
          <w:rFonts w:eastAsia="Calibri" w:cs="Arial"/>
          <w:b w:val="0"/>
          <w:bCs w:val="0"/>
          <w:color w:val="696969" w:themeColor="accent6"/>
          <w:szCs w:val="20"/>
        </w:rPr>
      </w:pPr>
      <w:r w:rsidRPr="00934F04">
        <w:rPr>
          <w:rFonts w:eastAsia="Calibri" w:cs="Arial"/>
          <w:b w:val="0"/>
          <w:bCs w:val="0"/>
          <w:color w:val="696969" w:themeColor="accent6"/>
          <w:szCs w:val="20"/>
        </w:rPr>
        <w:t>Vizient, Inc.</w:t>
      </w:r>
    </w:p>
    <w:p w14:paraId="66C18B84" w14:textId="77777777" w:rsidR="00934F04" w:rsidRPr="00934F04" w:rsidRDefault="00934F04" w:rsidP="00934F04"/>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3"/>
    <w:bookmarkEnd w:id="6"/>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85158">
    <w:abstractNumId w:val="26"/>
  </w:num>
  <w:num w:numId="2" w16cid:durableId="1252350406">
    <w:abstractNumId w:val="18"/>
  </w:num>
  <w:num w:numId="3" w16cid:durableId="1618486422">
    <w:abstractNumId w:val="35"/>
  </w:num>
  <w:num w:numId="4" w16cid:durableId="285701329">
    <w:abstractNumId w:val="35"/>
  </w:num>
  <w:num w:numId="5" w16cid:durableId="2034381164">
    <w:abstractNumId w:val="31"/>
  </w:num>
  <w:num w:numId="6" w16cid:durableId="840241027">
    <w:abstractNumId w:val="4"/>
  </w:num>
  <w:num w:numId="7" w16cid:durableId="1758287853">
    <w:abstractNumId w:val="25"/>
  </w:num>
  <w:num w:numId="8" w16cid:durableId="703484133">
    <w:abstractNumId w:val="42"/>
  </w:num>
  <w:num w:numId="9" w16cid:durableId="1456824005">
    <w:abstractNumId w:val="39"/>
  </w:num>
  <w:num w:numId="10" w16cid:durableId="77333560">
    <w:abstractNumId w:val="43"/>
  </w:num>
  <w:num w:numId="11" w16cid:durableId="1275988256">
    <w:abstractNumId w:val="14"/>
  </w:num>
  <w:num w:numId="12" w16cid:durableId="2121534404">
    <w:abstractNumId w:val="27"/>
  </w:num>
  <w:num w:numId="13" w16cid:durableId="790443551">
    <w:abstractNumId w:val="17"/>
  </w:num>
  <w:num w:numId="14" w16cid:durableId="1937403382">
    <w:abstractNumId w:val="33"/>
  </w:num>
  <w:num w:numId="15" w16cid:durableId="1822191407">
    <w:abstractNumId w:val="20"/>
  </w:num>
  <w:num w:numId="16" w16cid:durableId="1454013523">
    <w:abstractNumId w:val="6"/>
  </w:num>
  <w:num w:numId="17" w16cid:durableId="1276986715">
    <w:abstractNumId w:val="15"/>
  </w:num>
  <w:num w:numId="18" w16cid:durableId="829062913">
    <w:abstractNumId w:val="38"/>
  </w:num>
  <w:num w:numId="19" w16cid:durableId="2119910866">
    <w:abstractNumId w:val="41"/>
  </w:num>
  <w:num w:numId="20" w16cid:durableId="479427422">
    <w:abstractNumId w:val="30"/>
  </w:num>
  <w:num w:numId="21" w16cid:durableId="1357806297">
    <w:abstractNumId w:val="9"/>
  </w:num>
  <w:num w:numId="22" w16cid:durableId="436100792">
    <w:abstractNumId w:val="23"/>
  </w:num>
  <w:num w:numId="23" w16cid:durableId="258487488">
    <w:abstractNumId w:val="12"/>
  </w:num>
  <w:num w:numId="24" w16cid:durableId="742220867">
    <w:abstractNumId w:val="37"/>
  </w:num>
  <w:num w:numId="25" w16cid:durableId="849024019">
    <w:abstractNumId w:val="3"/>
  </w:num>
  <w:num w:numId="26" w16cid:durableId="2014405784">
    <w:abstractNumId w:val="21"/>
  </w:num>
  <w:num w:numId="27" w16cid:durableId="1212423676">
    <w:abstractNumId w:val="40"/>
  </w:num>
  <w:num w:numId="28" w16cid:durableId="64771374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1845126972">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24183952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446149912">
    <w:abstractNumId w:val="28"/>
  </w:num>
  <w:num w:numId="32" w16cid:durableId="1284654471">
    <w:abstractNumId w:val="8"/>
  </w:num>
  <w:num w:numId="33" w16cid:durableId="562983487">
    <w:abstractNumId w:val="36"/>
  </w:num>
  <w:num w:numId="34" w16cid:durableId="1745564315">
    <w:abstractNumId w:val="22"/>
  </w:num>
  <w:num w:numId="35" w16cid:durableId="777138252">
    <w:abstractNumId w:val="10"/>
  </w:num>
  <w:num w:numId="36" w16cid:durableId="1402673966">
    <w:abstractNumId w:val="1"/>
  </w:num>
  <w:num w:numId="37" w16cid:durableId="384108474">
    <w:abstractNumId w:val="0"/>
  </w:num>
  <w:num w:numId="38" w16cid:durableId="1250504410">
    <w:abstractNumId w:val="5"/>
  </w:num>
  <w:num w:numId="39" w16cid:durableId="1730614267">
    <w:abstractNumId w:val="7"/>
  </w:num>
  <w:num w:numId="40" w16cid:durableId="1487673264">
    <w:abstractNumId w:val="2"/>
  </w:num>
  <w:num w:numId="41" w16cid:durableId="1057319416">
    <w:abstractNumId w:val="19"/>
  </w:num>
  <w:num w:numId="42" w16cid:durableId="305673140">
    <w:abstractNumId w:val="32"/>
  </w:num>
  <w:num w:numId="43" w16cid:durableId="390613637">
    <w:abstractNumId w:val="16"/>
  </w:num>
  <w:num w:numId="44" w16cid:durableId="525290974">
    <w:abstractNumId w:val="11"/>
  </w:num>
  <w:num w:numId="45" w16cid:durableId="2049406145">
    <w:abstractNumId w:val="24"/>
  </w:num>
  <w:num w:numId="46" w16cid:durableId="1654482203">
    <w:abstractNumId w:val="13"/>
  </w:num>
  <w:num w:numId="47" w16cid:durableId="1341154795">
    <w:abstractNumId w:val="34"/>
  </w:num>
  <w:num w:numId="48" w16cid:durableId="236209923">
    <w:abstractNumId w:val="44"/>
  </w:num>
  <w:num w:numId="49" w16cid:durableId="16841664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07EEB"/>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56372"/>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34F04"/>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6633"/>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1ABF4432"/>
    <w:rsid w:val="5407FEAA"/>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AD_HOC" displayName="AD_HOC" id="9426ea6f-1b24-4683-bca3-85d71f6375fd" isdomainofvalue="False" dataSourceId="80be7e5f-6e71-448c-9228-23264555308c"/>
</file>

<file path=customXml/item12.xml><?xml version="1.0" encoding="utf-8"?>
<SourceDataModel Name="Computed" TargetDataSourceId="87651697-ca1f-4d80-9f69-bb743e325714"/>
</file>

<file path=customXml/item13.xml><?xml version="1.0" encoding="utf-8"?>
<SourceDataModel Name="System" TargetDataSourceId="00b80028-d226-4a39-9a19-6787589aad19"/>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AllExternalAdhocVariableMapping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SourceDataModel Name="AD_HOC" TargetDataSourceId="80be7e5f-6e71-448c-9228-23264555308c"/>
</file>

<file path=customXml/item24.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DocPartTree/>
</file>

<file path=customXml/item3.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4.xml><?xml version="1.0" encoding="utf-8"?>
<VariableListDefinition name="Computed" displayName="Computed" id="69155e26-4760-488b-ab4c-bb15b0f8b2a2" isdomainofvalue="False" dataSourceId="87651697-ca1f-4d80-9f69-bb743e325714"/>
</file>

<file path=customXml/item5.xml><?xml version="1.0" encoding="utf-8"?>
<AllMetadata/>
</file>

<file path=customXml/item6.xml><?xml version="1.0" encoding="utf-8"?>
<VariableUsageMapping/>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AllWordPDs>
</AllWordPDs>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5BEF3205-EB69-4E70-BFE8-AFB1DD2B0B96}">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6f04ec46-301e-456b-b739-e249e9e5d469"/>
    <ds:schemaRef ds:uri="http://purl.org/dc/dcmitype/"/>
    <ds:schemaRef ds:uri="http://schemas.openxmlformats.org/package/2006/metadata/core-properties"/>
    <ds:schemaRef ds:uri="280ed855-13d4-449f-93bf-ba11c3609fb7"/>
    <ds:schemaRef ds:uri="http://schemas.microsoft.com/office/2006/metadata/properties"/>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2023-04-11T19:12:00Z</dcterms:created>
  <dcterms:modified xsi:type="dcterms:W3CDTF">2023-04-11T19:12:00Z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