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4501F1"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57396E73" w14:textId="77777777" w:rsidR="00AA1CB7" w:rsidRPr="00385407" w:rsidRDefault="00AA1CB7" w:rsidP="00AA1CB7">
      <w:pPr>
        <w:pStyle w:val="Heading"/>
        <w:rPr>
          <w:rFonts w:cs="Arial"/>
        </w:rPr>
      </w:pPr>
      <w:r>
        <w:rPr>
          <w:rFonts w:cs="Arial"/>
        </w:rPr>
        <w:t xml:space="preserve">What’s in the Bag? A Review of Parenteral Nutrition </w:t>
      </w:r>
    </w:p>
    <w:p w14:paraId="0D0DC3CD" w14:textId="1D1E347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A1CB7">
        <w:rPr>
          <w:color w:val="FF4E00" w:themeColor="accent1"/>
        </w:rPr>
        <w:t>February 15, 2023</w:t>
      </w:r>
    </w:p>
    <w:p w14:paraId="641D3E3A" w14:textId="3862F17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A1CB7">
        <w:rPr>
          <w:color w:val="FF4E00" w:themeColor="accent1"/>
        </w:rPr>
        <w:t>Julie Ing,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162CF192"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AA1CB7">
        <w:rPr>
          <w:rFonts w:cs="Arial"/>
          <w:color w:val="595959" w:themeColor="text1" w:themeTint="A6"/>
          <w:szCs w:val="20"/>
        </w:rPr>
        <w:t>April 1,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4687BE00" w14:textId="77777777" w:rsidR="00AA1CB7" w:rsidRPr="00AA1CB7" w:rsidRDefault="00AA1CB7" w:rsidP="00AA1CB7">
      <w:pPr>
        <w:pStyle w:val="ListParagraph"/>
        <w:numPr>
          <w:ilvl w:val="0"/>
          <w:numId w:val="44"/>
        </w:numPr>
        <w:rPr>
          <w:rFonts w:eastAsia="Calibri" w:cs="Arial"/>
          <w:color w:val="595959" w:themeColor="text1" w:themeTint="A6"/>
          <w:szCs w:val="20"/>
        </w:rPr>
      </w:pPr>
      <w:r w:rsidRPr="00AA1CB7">
        <w:rPr>
          <w:rFonts w:eastAsia="Calibri" w:cs="Arial"/>
          <w:color w:val="595959" w:themeColor="text1" w:themeTint="A6"/>
          <w:szCs w:val="20"/>
        </w:rPr>
        <w:t>Identify appropriate indications for parenteral nutrition in various adult patient populations.</w:t>
      </w:r>
    </w:p>
    <w:p w14:paraId="6090CF0E" w14:textId="77777777" w:rsidR="00AA1CB7" w:rsidRPr="00AA1CB7" w:rsidRDefault="00AA1CB7" w:rsidP="00AA1CB7">
      <w:pPr>
        <w:pStyle w:val="ListParagraph"/>
        <w:numPr>
          <w:ilvl w:val="0"/>
          <w:numId w:val="44"/>
        </w:numPr>
        <w:rPr>
          <w:rFonts w:eastAsia="Calibri" w:cs="Arial"/>
          <w:color w:val="595959" w:themeColor="text1" w:themeTint="A6"/>
          <w:szCs w:val="20"/>
        </w:rPr>
      </w:pPr>
      <w:r w:rsidRPr="00AA1CB7">
        <w:rPr>
          <w:rFonts w:eastAsia="Calibri" w:cs="Arial"/>
          <w:color w:val="595959" w:themeColor="text1" w:themeTint="A6"/>
          <w:szCs w:val="20"/>
        </w:rPr>
        <w:t>Determine the key components of a parenteral nutrition order and nutritional requirements for an adult patient requiring parenteral nutrition.</w:t>
      </w:r>
    </w:p>
    <w:p w14:paraId="024E1B93" w14:textId="77777777" w:rsidR="00AA1CB7" w:rsidRPr="00AA1CB7" w:rsidRDefault="00AA1CB7" w:rsidP="00AA1CB7">
      <w:pPr>
        <w:pStyle w:val="ListParagraph"/>
        <w:numPr>
          <w:ilvl w:val="0"/>
          <w:numId w:val="44"/>
        </w:numPr>
        <w:rPr>
          <w:rFonts w:eastAsia="Calibri" w:cs="Arial"/>
          <w:color w:val="595959" w:themeColor="text1" w:themeTint="A6"/>
          <w:szCs w:val="20"/>
        </w:rPr>
      </w:pPr>
      <w:r w:rsidRPr="00AA1CB7">
        <w:rPr>
          <w:rFonts w:eastAsia="Calibri" w:cs="Arial"/>
          <w:color w:val="595959" w:themeColor="text1" w:themeTint="A6"/>
          <w:szCs w:val="20"/>
        </w:rPr>
        <w:t>Assess an adult parenteral nutrition order based on patient-specific information, guideline recommendations, and evidence-based practice.</w:t>
      </w:r>
    </w:p>
    <w:p w14:paraId="46D81692" w14:textId="77E5034E" w:rsidR="00524EB3" w:rsidRPr="00AA1CB7" w:rsidRDefault="00AA1CB7" w:rsidP="00AA1CB7">
      <w:pPr>
        <w:pStyle w:val="ListParagraph"/>
        <w:numPr>
          <w:ilvl w:val="0"/>
          <w:numId w:val="44"/>
        </w:numPr>
        <w:rPr>
          <w:color w:val="595959" w:themeColor="text1" w:themeTint="A6"/>
        </w:rPr>
      </w:pPr>
      <w:r w:rsidRPr="00AA1CB7">
        <w:rPr>
          <w:rFonts w:eastAsia="Calibri" w:cs="Arial"/>
          <w:color w:val="595959" w:themeColor="text1" w:themeTint="A6"/>
          <w:szCs w:val="20"/>
        </w:rPr>
        <w:t>Describe known complications of short-term parenteral nutrition and their management.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5F6A4F5C" w14:textId="77777777" w:rsidR="00AA1CB7" w:rsidRPr="00AA1CB7" w:rsidRDefault="00AA1CB7" w:rsidP="00AA1CB7">
      <w:pPr>
        <w:pStyle w:val="ListParagraph"/>
        <w:numPr>
          <w:ilvl w:val="0"/>
          <w:numId w:val="48"/>
        </w:numPr>
        <w:rPr>
          <w:rFonts w:eastAsia="Calibri" w:cs="Arial"/>
          <w:color w:val="595959" w:themeColor="text1" w:themeTint="A6"/>
          <w:szCs w:val="20"/>
        </w:rPr>
      </w:pPr>
      <w:r w:rsidRPr="00AA1CB7">
        <w:rPr>
          <w:rFonts w:eastAsia="Calibri" w:cs="Arial"/>
          <w:color w:val="595959" w:themeColor="text1" w:themeTint="A6"/>
          <w:szCs w:val="20"/>
        </w:rPr>
        <w:t>Recognize reasons for which a patient may require parenteral nutrition.</w:t>
      </w:r>
    </w:p>
    <w:p w14:paraId="0C7362A1" w14:textId="77777777" w:rsidR="00AA1CB7" w:rsidRPr="00AA1CB7" w:rsidRDefault="00AA1CB7" w:rsidP="00AA1CB7">
      <w:pPr>
        <w:pStyle w:val="ListParagraph"/>
        <w:numPr>
          <w:ilvl w:val="0"/>
          <w:numId w:val="48"/>
        </w:numPr>
        <w:rPr>
          <w:rFonts w:eastAsia="Calibri" w:cs="Arial"/>
          <w:color w:val="595959" w:themeColor="text1" w:themeTint="A6"/>
          <w:szCs w:val="20"/>
        </w:rPr>
      </w:pPr>
      <w:r w:rsidRPr="00AA1CB7">
        <w:rPr>
          <w:rFonts w:eastAsia="Calibri" w:cs="Arial"/>
          <w:color w:val="595959" w:themeColor="text1" w:themeTint="A6"/>
          <w:szCs w:val="20"/>
        </w:rPr>
        <w:t>List major components of a parenteral nutrition order.</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3D27D117" w14:textId="0376C839" w:rsidR="00003E64" w:rsidRDefault="00003E64" w:rsidP="00AA1CB7">
      <w:pPr>
        <w:rPr>
          <w:rFonts w:cs="Arial"/>
          <w:color w:val="595959" w:themeColor="text1" w:themeTint="A6"/>
          <w:szCs w:val="20"/>
        </w:rPr>
      </w:pPr>
    </w:p>
    <w:p w14:paraId="3B8D36F2" w14:textId="77777777" w:rsidR="00003E64" w:rsidRDefault="00003E64" w:rsidP="00003E64">
      <w:pPr>
        <w:rPr>
          <w:rFonts w:cs="Arial"/>
          <w:color w:val="595959" w:themeColor="text1" w:themeTint="A6"/>
          <w:szCs w:val="20"/>
        </w:rPr>
      </w:pPr>
    </w:p>
    <w:p w14:paraId="3381C8B7" w14:textId="319434AF"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r w:rsidR="00AA1CB7">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AA1CB7">
        <w:rPr>
          <w:rFonts w:cs="Arial"/>
          <w:color w:val="595959" w:themeColor="text1" w:themeTint="A6"/>
        </w:rPr>
        <w:t>of 1.00 ACPE credit hours.</w:t>
      </w:r>
      <w:r w:rsidRPr="00145C63">
        <w:rPr>
          <w:rFonts w:cs="Arial"/>
          <w:color w:val="595959" w:themeColor="text1" w:themeTint="A6"/>
        </w:rPr>
        <w:t xml:space="preserve"> </w:t>
      </w:r>
    </w:p>
    <w:p w14:paraId="5E19CC38" w14:textId="77777777" w:rsidR="00EA3DA6" w:rsidRPr="00EA3DA6" w:rsidRDefault="00EA3DA6" w:rsidP="00EA3DA6">
      <w:pPr>
        <w:pStyle w:val="Heading3"/>
        <w:rPr>
          <w:rFonts w:eastAsiaTheme="minorHAnsi" w:cs="Arial"/>
          <w:b w:val="0"/>
          <w:bCs w:val="0"/>
          <w:color w:val="595959" w:themeColor="text1" w:themeTint="A6"/>
          <w:szCs w:val="24"/>
        </w:rPr>
      </w:pPr>
      <w:r w:rsidRPr="00EA3DA6">
        <w:rPr>
          <w:rFonts w:eastAsiaTheme="minorHAnsi" w:cs="Arial"/>
          <w:b w:val="0"/>
          <w:bCs w:val="0"/>
          <w:color w:val="595959" w:themeColor="text1" w:themeTint="A6"/>
          <w:szCs w:val="24"/>
        </w:rPr>
        <w:t>UAN JA0006103-9999-23-016-L01-P</w:t>
      </w:r>
    </w:p>
    <w:p w14:paraId="45E58444" w14:textId="77777777" w:rsidR="00EA3DA6" w:rsidRDefault="00EA3DA6" w:rsidP="00EA3DA6">
      <w:pPr>
        <w:pStyle w:val="Heading3"/>
        <w:rPr>
          <w:rFonts w:eastAsiaTheme="minorHAnsi" w:cs="Arial"/>
          <w:b w:val="0"/>
          <w:bCs w:val="0"/>
          <w:color w:val="595959" w:themeColor="text1" w:themeTint="A6"/>
          <w:szCs w:val="24"/>
        </w:rPr>
      </w:pPr>
      <w:r w:rsidRPr="00EA3DA6">
        <w:rPr>
          <w:rFonts w:eastAsiaTheme="minorHAnsi" w:cs="Arial"/>
          <w:b w:val="0"/>
          <w:bCs w:val="0"/>
          <w:color w:val="595959" w:themeColor="text1" w:themeTint="A6"/>
          <w:szCs w:val="24"/>
        </w:rPr>
        <w:t>UAN JA0006103-9999-23-016-L01-T</w:t>
      </w:r>
    </w:p>
    <w:p w14:paraId="28E5686B" w14:textId="3C8E9B38" w:rsidR="00C9605F" w:rsidRPr="00145C63" w:rsidRDefault="00BE43F5" w:rsidP="00EA3DA6">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0AE55789"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0F340D08" w14:textId="77777777" w:rsidR="00AA1CB7" w:rsidRDefault="00AA1CB7" w:rsidP="0009132C">
      <w:pPr>
        <w:pStyle w:val="Heading3"/>
        <w:spacing w:before="0"/>
        <w:rPr>
          <w:sz w:val="24"/>
          <w:szCs w:val="24"/>
        </w:rPr>
      </w:pPr>
    </w:p>
    <w:p w14:paraId="22B19389" w14:textId="30DFA7C5" w:rsidR="0009132C" w:rsidRPr="00524EB3" w:rsidRDefault="0009132C" w:rsidP="0009132C">
      <w:pPr>
        <w:pStyle w:val="Heading3"/>
        <w:spacing w:before="0"/>
        <w:rPr>
          <w:sz w:val="24"/>
          <w:szCs w:val="24"/>
        </w:rPr>
      </w:pPr>
      <w:r w:rsidRPr="00524EB3">
        <w:rPr>
          <w:sz w:val="24"/>
          <w:szCs w:val="24"/>
        </w:rPr>
        <w:t>Faculty</w:t>
      </w:r>
    </w:p>
    <w:p w14:paraId="654456DD"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Julie Ing, PharmD</w:t>
      </w:r>
    </w:p>
    <w:p w14:paraId="09C54749"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PGY1 Pharmacy Resident</w:t>
      </w:r>
    </w:p>
    <w:p w14:paraId="704C7DAE"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ChristianaCare Health System</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6723770D" w14:textId="77777777" w:rsidR="00AA1CB7" w:rsidRPr="00AA1CB7" w:rsidRDefault="00AA1CB7" w:rsidP="00AA1CB7">
      <w:pPr>
        <w:pStyle w:val="Heading3"/>
        <w:contextualSpacing/>
        <w:rPr>
          <w:rFonts w:eastAsia="Calibri" w:cs="Arial"/>
          <w:b w:val="0"/>
          <w:bCs w:val="0"/>
          <w:color w:val="696969" w:themeColor="accent6"/>
          <w:szCs w:val="20"/>
        </w:rPr>
      </w:pPr>
      <w:bookmarkStart w:id="5" w:name="_Hlk109900071"/>
      <w:r w:rsidRPr="00AA1CB7">
        <w:rPr>
          <w:rFonts w:eastAsia="Calibri" w:cs="Arial"/>
          <w:b w:val="0"/>
          <w:bCs w:val="0"/>
          <w:color w:val="696969" w:themeColor="accent6"/>
          <w:szCs w:val="20"/>
        </w:rPr>
        <w:t>Julie Ing, PharmD</w:t>
      </w:r>
    </w:p>
    <w:p w14:paraId="569B22D6"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PGY1 Pharmacy Resident</w:t>
      </w:r>
    </w:p>
    <w:p w14:paraId="189441EA"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ChristianaCare Health System</w:t>
      </w:r>
    </w:p>
    <w:p w14:paraId="0AB15D24" w14:textId="77777777" w:rsidR="00AA1CB7" w:rsidRPr="00AA1CB7" w:rsidRDefault="00AA1CB7" w:rsidP="00AA1CB7">
      <w:pPr>
        <w:pStyle w:val="Heading3"/>
        <w:contextualSpacing/>
        <w:rPr>
          <w:rFonts w:eastAsia="Calibri" w:cs="Arial"/>
          <w:b w:val="0"/>
          <w:bCs w:val="0"/>
          <w:color w:val="696969" w:themeColor="accent6"/>
          <w:szCs w:val="20"/>
        </w:rPr>
      </w:pPr>
    </w:p>
    <w:p w14:paraId="514EEB38"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Kelly Curran, PharmD</w:t>
      </w:r>
    </w:p>
    <w:p w14:paraId="5BA2A593" w14:textId="77777777" w:rsidR="00AA1CB7" w:rsidRPr="00AA1CB7" w:rsidRDefault="00AA1CB7" w:rsidP="00AA1CB7">
      <w:pPr>
        <w:pStyle w:val="Heading3"/>
        <w:contextualSpacing/>
        <w:rPr>
          <w:rFonts w:eastAsia="Calibri" w:cs="Arial"/>
          <w:b w:val="0"/>
          <w:bCs w:val="0"/>
          <w:color w:val="696969" w:themeColor="accent6"/>
          <w:szCs w:val="20"/>
        </w:rPr>
      </w:pPr>
      <w:r w:rsidRPr="00AA1CB7">
        <w:rPr>
          <w:rFonts w:eastAsia="Calibri" w:cs="Arial"/>
          <w:b w:val="0"/>
          <w:bCs w:val="0"/>
          <w:color w:val="696969" w:themeColor="accent6"/>
          <w:szCs w:val="20"/>
        </w:rPr>
        <w:t>Clinical Pharmacist</w:t>
      </w:r>
    </w:p>
    <w:p w14:paraId="7A9F27F3" w14:textId="466CFD88" w:rsidR="007B46F7" w:rsidRDefault="00AA1CB7" w:rsidP="00AA1CB7">
      <w:pPr>
        <w:pStyle w:val="Heading3"/>
        <w:spacing w:before="0"/>
        <w:contextualSpacing/>
        <w:rPr>
          <w:rFonts w:eastAsia="Calibri" w:cs="Arial"/>
          <w:b w:val="0"/>
          <w:bCs w:val="0"/>
          <w:color w:val="696969" w:themeColor="accent6"/>
          <w:szCs w:val="20"/>
        </w:rPr>
      </w:pPr>
      <w:r w:rsidRPr="00AA1CB7">
        <w:rPr>
          <w:rFonts w:eastAsia="Calibri" w:cs="Arial"/>
          <w:b w:val="0"/>
          <w:bCs w:val="0"/>
          <w:color w:val="696969" w:themeColor="accent6"/>
          <w:szCs w:val="20"/>
        </w:rPr>
        <w:t>ChristianaCare Health System</w:t>
      </w:r>
    </w:p>
    <w:p w14:paraId="5E471C3A" w14:textId="77777777" w:rsidR="00AA1CB7" w:rsidRPr="00AA1CB7" w:rsidRDefault="00AA1CB7" w:rsidP="00AA1CB7"/>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6"/>
    <w:bookmarkEnd w:id="7"/>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8"/>
    <w:bookmarkEnd w:id="5"/>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CB7"/>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C3A30"/>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A3DA6"/>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VariableListDefinition name="System" displayName="System" id="dc9731b4-d0d2-4ed5-b20d-434d69de1706" isdomainofvalue="False" dataSourceId="00b80028-d226-4a39-9a19-6787589aad19"/>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SourceDataModel Name="AD_HOC" TargetDataSourceId="80be7e5f-6e71-448c-9228-23264555308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UsageMapping/>
</file>

<file path=customXml/item16.xml><?xml version="1.0" encoding="utf-8"?>
<SourceDataModel Name="System" TargetDataSourceId="00b80028-d226-4a39-9a19-6787589aad19"/>
</file>

<file path=customXml/item17.xml><?xml version="1.0" encoding="utf-8"?>
<DocPartTree/>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WordPDs>
</AllWordPDs>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SourceDataModel Name="Computed" TargetDataSourceId="87651697-ca1f-4d80-9f69-bb743e325714"/>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llExternalAdhocVariableMapping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2023-01-06T17:02:00Z</dcterms:created>
  <dcterms:modified xsi:type="dcterms:W3CDTF">2023-01-06T17:31:00Z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