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1B25D0B" w14:textId="77777777" w:rsidR="002D7F07" w:rsidRDefault="002D7F07" w:rsidP="004A294A">
      <w:pPr>
        <w:pStyle w:val="BodyText1"/>
        <w:rPr>
          <w:rFonts w:eastAsiaTheme="majorEastAsia" w:cstheme="majorBidi"/>
          <w:b/>
          <w:bCs/>
          <w:color w:val="01ADAB" w:themeColor="accent4"/>
          <w:sz w:val="28"/>
          <w:szCs w:val="28"/>
        </w:rPr>
      </w:pPr>
      <w:r w:rsidRPr="002D7F07">
        <w:rPr>
          <w:rFonts w:eastAsiaTheme="majorEastAsia" w:cstheme="majorBidi"/>
          <w:b/>
          <w:bCs/>
          <w:color w:val="01ADAB" w:themeColor="accent4"/>
          <w:sz w:val="28"/>
          <w:szCs w:val="28"/>
        </w:rPr>
        <w:t>Have You Tried Ketamine for That?</w:t>
      </w:r>
    </w:p>
    <w:p w14:paraId="0D0DC3CD" w14:textId="3086632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D7F07">
        <w:rPr>
          <w:color w:val="FF4E00" w:themeColor="accent1"/>
        </w:rPr>
        <w:t>February 13, 2023</w:t>
      </w:r>
    </w:p>
    <w:p w14:paraId="641D3E3A" w14:textId="7CF4A98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D7F07">
        <w:rPr>
          <w:color w:val="FF4E00" w:themeColor="accent1"/>
        </w:rPr>
        <w:t>Zachary Kalikow,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4C5E96A7"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2D7F07" w:rsidRPr="002D7F07">
        <w:rPr>
          <w:rFonts w:cs="Arial"/>
          <w:b/>
          <w:color w:val="FF4E00" w:themeColor="accent1"/>
          <w:szCs w:val="20"/>
        </w:rPr>
        <w:t>March 30,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2D7F07" w:rsidRDefault="00524EB3" w:rsidP="00524EB3">
      <w:pPr>
        <w:rPr>
          <w:rFonts w:eastAsia="Calibri" w:cs="Arial"/>
          <w:i/>
          <w:color w:val="595959" w:themeColor="text1" w:themeTint="A6"/>
          <w:szCs w:val="20"/>
        </w:rPr>
      </w:pPr>
      <w:bookmarkStart w:id="3" w:name="_Hlk109818015"/>
      <w:r w:rsidRPr="002D7F07">
        <w:rPr>
          <w:rFonts w:eastAsia="Calibri" w:cs="Arial"/>
          <w:color w:val="595959" w:themeColor="text1" w:themeTint="A6"/>
          <w:szCs w:val="20"/>
        </w:rPr>
        <w:t xml:space="preserve">At the conclusion of this activity, </w:t>
      </w:r>
      <w:r w:rsidR="0009132C" w:rsidRPr="002D7F07">
        <w:rPr>
          <w:rFonts w:eastAsia="Calibri" w:cs="Arial"/>
          <w:color w:val="595959" w:themeColor="text1" w:themeTint="A6"/>
          <w:szCs w:val="20"/>
        </w:rPr>
        <w:t>pharmacists</w:t>
      </w:r>
      <w:r w:rsidRPr="002D7F07">
        <w:rPr>
          <w:rFonts w:eastAsia="Calibri" w:cs="Arial"/>
          <w:color w:val="595959" w:themeColor="text1" w:themeTint="A6"/>
          <w:szCs w:val="20"/>
        </w:rPr>
        <w:t xml:space="preserve"> should be able to: </w:t>
      </w:r>
    </w:p>
    <w:bookmarkEnd w:id="3"/>
    <w:p w14:paraId="3AFFC478" w14:textId="77777777" w:rsidR="002D7F07" w:rsidRPr="002D7F07" w:rsidRDefault="002D7F07" w:rsidP="00E04296">
      <w:pPr>
        <w:pStyle w:val="ListParagraph"/>
        <w:numPr>
          <w:ilvl w:val="0"/>
          <w:numId w:val="44"/>
        </w:numPr>
        <w:ind w:left="540"/>
        <w:rPr>
          <w:rFonts w:cs="Arial"/>
          <w:color w:val="595959" w:themeColor="text1" w:themeTint="A6"/>
          <w:szCs w:val="20"/>
        </w:rPr>
      </w:pPr>
      <w:r w:rsidRPr="002D7F07">
        <w:rPr>
          <w:rFonts w:eastAsia="Calibri" w:cs="Arial"/>
          <w:color w:val="595959" w:themeColor="text1" w:themeTint="A6"/>
          <w:szCs w:val="20"/>
        </w:rPr>
        <w:t xml:space="preserve">Describe the pharmacology and mechanism of action of ketamine </w:t>
      </w:r>
    </w:p>
    <w:p w14:paraId="2BAA7F08" w14:textId="6355D9DE" w:rsidR="00524EB3" w:rsidRPr="002D7F07" w:rsidRDefault="002D7F07" w:rsidP="00E04296">
      <w:pPr>
        <w:pStyle w:val="ListParagraph"/>
        <w:numPr>
          <w:ilvl w:val="0"/>
          <w:numId w:val="44"/>
        </w:numPr>
        <w:ind w:left="540"/>
        <w:rPr>
          <w:rFonts w:cs="Arial"/>
          <w:color w:val="595959" w:themeColor="text1" w:themeTint="A6"/>
          <w:szCs w:val="20"/>
        </w:rPr>
      </w:pPr>
      <w:r w:rsidRPr="002D7F07">
        <w:rPr>
          <w:rFonts w:eastAsia="Calibri" w:cs="Arial"/>
          <w:color w:val="595959" w:themeColor="text1" w:themeTint="A6"/>
          <w:szCs w:val="20"/>
        </w:rPr>
        <w:t xml:space="preserve">Identify dosing and clinical considerations of ketamine in pain, status asthmaticus, and alcohol withdrawal in critically ill patients </w:t>
      </w:r>
    </w:p>
    <w:p w14:paraId="46D81692" w14:textId="0CA48C0C" w:rsidR="00524EB3" w:rsidRPr="002D7F07" w:rsidRDefault="002D7F07" w:rsidP="00E04296">
      <w:pPr>
        <w:pStyle w:val="ListParagraph"/>
        <w:numPr>
          <w:ilvl w:val="0"/>
          <w:numId w:val="44"/>
        </w:numPr>
        <w:ind w:left="540"/>
        <w:rPr>
          <w:color w:val="595959" w:themeColor="text1" w:themeTint="A6"/>
        </w:rPr>
      </w:pPr>
      <w:r w:rsidRPr="002D7F07">
        <w:rPr>
          <w:color w:val="595959" w:themeColor="text1" w:themeTint="A6"/>
        </w:rPr>
        <w:t>Appraise the literature supporting ketamine use in pain, status asthmaticus, and alcohol withdrawal</w:t>
      </w:r>
      <w:r>
        <w:rPr>
          <w:color w:val="595959" w:themeColor="text1" w:themeTint="A6"/>
        </w:rPr>
        <w: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17867DC" w14:textId="7958EC02" w:rsidR="00524EB3" w:rsidRPr="002D7F07" w:rsidRDefault="00524EB3" w:rsidP="00524EB3">
      <w:pPr>
        <w:rPr>
          <w:rFonts w:eastAsia="Calibri" w:cs="Arial"/>
          <w:i/>
          <w:color w:val="595959" w:themeColor="text1" w:themeTint="A6"/>
          <w:szCs w:val="20"/>
        </w:rPr>
      </w:pPr>
      <w:r w:rsidRPr="002D7F07">
        <w:rPr>
          <w:rFonts w:eastAsia="Calibri" w:cs="Arial"/>
          <w:color w:val="595959" w:themeColor="text1" w:themeTint="A6"/>
          <w:szCs w:val="20"/>
        </w:rPr>
        <w:t xml:space="preserve">At the conclusion of this activity, </w:t>
      </w:r>
      <w:r w:rsidR="0009132C" w:rsidRPr="002D7F07">
        <w:rPr>
          <w:rFonts w:eastAsia="Calibri" w:cs="Arial"/>
          <w:color w:val="595959" w:themeColor="text1" w:themeTint="A6"/>
          <w:szCs w:val="20"/>
        </w:rPr>
        <w:t>pharmacy technicians</w:t>
      </w:r>
      <w:r w:rsidRPr="002D7F07">
        <w:rPr>
          <w:rFonts w:eastAsia="Calibri" w:cs="Arial"/>
          <w:color w:val="595959" w:themeColor="text1" w:themeTint="A6"/>
          <w:szCs w:val="20"/>
        </w:rPr>
        <w:t xml:space="preserve"> should be able to: </w:t>
      </w:r>
    </w:p>
    <w:p w14:paraId="3A8CDF80" w14:textId="77777777" w:rsidR="002D7F07" w:rsidRPr="002D7F07" w:rsidRDefault="002D7F07" w:rsidP="00E04296">
      <w:pPr>
        <w:pStyle w:val="ListParagraph"/>
        <w:numPr>
          <w:ilvl w:val="0"/>
          <w:numId w:val="48"/>
        </w:numPr>
        <w:ind w:left="540"/>
        <w:rPr>
          <w:rFonts w:cs="Arial"/>
          <w:color w:val="595959" w:themeColor="text1" w:themeTint="A6"/>
          <w:szCs w:val="20"/>
        </w:rPr>
      </w:pPr>
      <w:r w:rsidRPr="002D7F07">
        <w:rPr>
          <w:rFonts w:eastAsia="Calibri" w:cs="Arial"/>
          <w:color w:val="595959" w:themeColor="text1" w:themeTint="A6"/>
          <w:szCs w:val="20"/>
        </w:rPr>
        <w:t>Identify indications for ketamine use</w:t>
      </w:r>
    </w:p>
    <w:p w14:paraId="50F58E69" w14:textId="77777777" w:rsidR="002D7F07" w:rsidRPr="002D7F07" w:rsidRDefault="002D7F07" w:rsidP="00E04296">
      <w:pPr>
        <w:pStyle w:val="ListParagraph"/>
        <w:numPr>
          <w:ilvl w:val="0"/>
          <w:numId w:val="48"/>
        </w:numPr>
        <w:ind w:left="540"/>
        <w:rPr>
          <w:rFonts w:cs="Arial"/>
          <w:color w:val="595959" w:themeColor="text1" w:themeTint="A6"/>
          <w:szCs w:val="20"/>
        </w:rPr>
      </w:pPr>
      <w:r w:rsidRPr="002D7F07">
        <w:rPr>
          <w:rFonts w:eastAsia="Calibri" w:cs="Arial"/>
          <w:color w:val="595959" w:themeColor="text1" w:themeTint="A6"/>
          <w:szCs w:val="20"/>
        </w:rPr>
        <w:t>Summarize the rationale of ketamine use in critically ill patients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4" w:name="_Hlk109828052"/>
      <w:r>
        <w:rPr>
          <w:rFonts w:eastAsia="Calibri" w:cs="Arial"/>
          <w:b/>
          <w:bCs/>
          <w:color w:val="01ADAB"/>
          <w:sz w:val="28"/>
          <w:szCs w:val="28"/>
        </w:rPr>
        <w:lastRenderedPageBreak/>
        <w:t>Joint Accreditation Statement:</w:t>
      </w:r>
    </w:p>
    <w:p w14:paraId="3B8D36F2" w14:textId="77777777" w:rsidR="00003E64" w:rsidRDefault="00003E64" w:rsidP="00003E64">
      <w:pPr>
        <w:rPr>
          <w:rFonts w:cs="Arial"/>
          <w:color w:val="595959" w:themeColor="text1" w:themeTint="A6"/>
          <w:szCs w:val="20"/>
        </w:rPr>
      </w:pPr>
    </w:p>
    <w:p w14:paraId="3381C8B7" w14:textId="3EE5C598" w:rsidR="00003E64" w:rsidRDefault="00003E64" w:rsidP="00003E64">
      <w:pPr>
        <w:autoSpaceDE w:val="0"/>
        <w:autoSpaceDN w:val="0"/>
        <w:rPr>
          <w:rFonts w:cs="Arial"/>
          <w:color w:val="595959" w:themeColor="text1" w:themeTint="A6"/>
        </w:rPr>
      </w:pPr>
      <w:r w:rsidRPr="000211DF">
        <w:rPr>
          <w:rFonts w:cs="Arial"/>
          <w:noProof/>
          <w:szCs w:val="20"/>
        </w:rPr>
        <w:drawing>
          <wp:anchor distT="0" distB="0" distL="114300" distR="114300" simplePos="0" relativeHeight="251667456" behindDoc="0" locked="0" layoutInCell="1" allowOverlap="1" wp14:anchorId="22E94F24" wp14:editId="6B8DD332">
            <wp:simplePos x="0" y="0"/>
            <wp:positionH relativeFrom="margin">
              <wp:align>left</wp:align>
            </wp:positionH>
            <wp:positionV relativeFrom="paragraph">
              <wp:posOffset>75565</wp:posOffset>
            </wp:positionV>
            <wp:extent cx="1287780" cy="808355"/>
            <wp:effectExtent l="0" t="0" r="7620" b="0"/>
            <wp:wrapSquare wrapText="bothSides"/>
            <wp:docPr id="4" name="Picture 4"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C91">
        <w:rPr>
          <w:rFonts w:cs="Arial"/>
          <w:color w:val="595959" w:themeColor="text1" w:themeTint="A6"/>
        </w:rPr>
        <w:t xml:space="preserve">In support of improving patient care, this activity has been planned and implemented by Vizient, Inc. and </w:t>
      </w:r>
      <w:proofErr w:type="spellStart"/>
      <w:r w:rsidR="002D7F07">
        <w:rPr>
          <w:rFonts w:cs="Arial"/>
          <w:color w:val="595959" w:themeColor="text1" w:themeTint="A6"/>
        </w:rPr>
        <w:t>ChristianaCare</w:t>
      </w:r>
      <w:proofErr w:type="spellEnd"/>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2D7F07" w:rsidRDefault="00C9605F" w:rsidP="00C9605F">
      <w:pPr>
        <w:rPr>
          <w:rFonts w:cs="Arial"/>
          <w:color w:val="595959" w:themeColor="text1" w:themeTint="A6"/>
        </w:rPr>
      </w:pPr>
      <w:r w:rsidRPr="002D7F07">
        <w:rPr>
          <w:rFonts w:cs="Arial"/>
          <w:color w:val="595959" w:themeColor="text1" w:themeTint="A6"/>
        </w:rPr>
        <w:t xml:space="preserve">Vizient, Inc. designates this activity for a maximum of 1.00 ACPE credit hours. </w:t>
      </w:r>
    </w:p>
    <w:p w14:paraId="669B6518" w14:textId="77777777" w:rsidR="00084139" w:rsidRPr="00084139" w:rsidRDefault="00084139" w:rsidP="00084139">
      <w:pPr>
        <w:pStyle w:val="Heading3"/>
        <w:rPr>
          <w:rFonts w:eastAsiaTheme="minorHAnsi" w:cs="Arial"/>
          <w:b w:val="0"/>
          <w:bCs w:val="0"/>
          <w:color w:val="595959" w:themeColor="text1" w:themeTint="A6"/>
          <w:szCs w:val="24"/>
        </w:rPr>
      </w:pPr>
      <w:r w:rsidRPr="00084139">
        <w:rPr>
          <w:rFonts w:eastAsiaTheme="minorHAnsi" w:cs="Arial"/>
          <w:b w:val="0"/>
          <w:bCs w:val="0"/>
          <w:color w:val="595959" w:themeColor="text1" w:themeTint="A6"/>
          <w:szCs w:val="24"/>
        </w:rPr>
        <w:t>UAN JA0006103-9999-23-015-L01-P</w:t>
      </w:r>
    </w:p>
    <w:p w14:paraId="3B0F7AD8" w14:textId="77777777" w:rsidR="00084139" w:rsidRDefault="00084139" w:rsidP="00084139">
      <w:pPr>
        <w:pStyle w:val="Heading3"/>
        <w:rPr>
          <w:rFonts w:eastAsiaTheme="minorHAnsi" w:cs="Arial"/>
          <w:b w:val="0"/>
          <w:bCs w:val="0"/>
          <w:color w:val="595959" w:themeColor="text1" w:themeTint="A6"/>
          <w:szCs w:val="24"/>
        </w:rPr>
      </w:pPr>
      <w:r w:rsidRPr="00084139">
        <w:rPr>
          <w:rFonts w:eastAsiaTheme="minorHAnsi" w:cs="Arial"/>
          <w:b w:val="0"/>
          <w:bCs w:val="0"/>
          <w:color w:val="595959" w:themeColor="text1" w:themeTint="A6"/>
          <w:szCs w:val="24"/>
        </w:rPr>
        <w:t>UAN JA0006103-9999-23-015-L01-T</w:t>
      </w:r>
    </w:p>
    <w:p w14:paraId="28E5686B" w14:textId="20175B1F" w:rsidR="00C9605F" w:rsidRPr="00145C63" w:rsidRDefault="00BE43F5" w:rsidP="00084139">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C3AB128"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44462E5B" w14:textId="77777777" w:rsidR="002D7F07" w:rsidRPr="002D7F07" w:rsidRDefault="002D7F07" w:rsidP="002D7F07">
      <w:pPr>
        <w:pStyle w:val="Heading3"/>
        <w:contextualSpacing/>
        <w:rPr>
          <w:rFonts w:eastAsia="Calibri" w:cs="Arial"/>
          <w:b w:val="0"/>
          <w:bCs w:val="0"/>
          <w:color w:val="696969" w:themeColor="accent6"/>
          <w:szCs w:val="20"/>
        </w:rPr>
      </w:pPr>
      <w:r w:rsidRPr="002D7F07">
        <w:rPr>
          <w:rFonts w:eastAsia="Calibri" w:cs="Arial"/>
          <w:b w:val="0"/>
          <w:bCs w:val="0"/>
          <w:color w:val="696969" w:themeColor="accent6"/>
          <w:szCs w:val="20"/>
        </w:rPr>
        <w:t>Zachary Kalikow, PharmD</w:t>
      </w:r>
    </w:p>
    <w:p w14:paraId="536D21D0" w14:textId="77777777" w:rsidR="002D7F07" w:rsidRPr="002D7F07" w:rsidRDefault="002D7F07" w:rsidP="002D7F07">
      <w:pPr>
        <w:pStyle w:val="Heading3"/>
        <w:contextualSpacing/>
        <w:rPr>
          <w:rFonts w:eastAsia="Calibri" w:cs="Arial"/>
          <w:b w:val="0"/>
          <w:bCs w:val="0"/>
          <w:color w:val="696969" w:themeColor="accent6"/>
          <w:szCs w:val="20"/>
        </w:rPr>
      </w:pPr>
      <w:r w:rsidRPr="002D7F07">
        <w:rPr>
          <w:rFonts w:eastAsia="Calibri" w:cs="Arial"/>
          <w:b w:val="0"/>
          <w:bCs w:val="0"/>
          <w:color w:val="696969" w:themeColor="accent6"/>
          <w:szCs w:val="20"/>
        </w:rPr>
        <w:t>Pharmacist</w:t>
      </w:r>
    </w:p>
    <w:p w14:paraId="1CB710B7" w14:textId="77777777" w:rsidR="002D7F07" w:rsidRPr="002D7F07" w:rsidRDefault="002D7F07" w:rsidP="002D7F07">
      <w:pPr>
        <w:pStyle w:val="Heading3"/>
        <w:contextualSpacing/>
        <w:rPr>
          <w:rFonts w:eastAsia="Calibri" w:cs="Arial"/>
          <w:b w:val="0"/>
          <w:bCs w:val="0"/>
          <w:color w:val="696969" w:themeColor="accent6"/>
          <w:szCs w:val="20"/>
        </w:rPr>
      </w:pPr>
      <w:proofErr w:type="spellStart"/>
      <w:r w:rsidRPr="002D7F07">
        <w:rPr>
          <w:rFonts w:eastAsia="Calibri" w:cs="Arial"/>
          <w:b w:val="0"/>
          <w:bCs w:val="0"/>
          <w:color w:val="696969" w:themeColor="accent6"/>
          <w:szCs w:val="20"/>
        </w:rPr>
        <w:t>ChristianaCare</w:t>
      </w:r>
      <w:proofErr w:type="spellEnd"/>
      <w:r w:rsidRPr="002D7F07">
        <w:rPr>
          <w:rFonts w:eastAsia="Calibri" w:cs="Arial"/>
          <w:b w:val="0"/>
          <w:bCs w:val="0"/>
          <w:color w:val="696969" w:themeColor="accent6"/>
          <w:szCs w:val="20"/>
        </w:rPr>
        <w:t xml:space="preserve"> Health System</w:t>
      </w:r>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5F9C0E12" w14:textId="77777777" w:rsidR="002D7F07" w:rsidRPr="002D7F07" w:rsidRDefault="002D7F07" w:rsidP="002D7F07">
      <w:pPr>
        <w:pStyle w:val="Heading3"/>
        <w:contextualSpacing/>
        <w:rPr>
          <w:rFonts w:eastAsia="Calibri" w:cs="Arial"/>
          <w:b w:val="0"/>
          <w:bCs w:val="0"/>
          <w:color w:val="696969" w:themeColor="accent6"/>
          <w:szCs w:val="20"/>
        </w:rPr>
      </w:pPr>
      <w:bookmarkStart w:id="5" w:name="_Hlk109900071"/>
      <w:r w:rsidRPr="002D7F07">
        <w:rPr>
          <w:rFonts w:eastAsia="Calibri" w:cs="Arial"/>
          <w:b w:val="0"/>
          <w:bCs w:val="0"/>
          <w:color w:val="696969" w:themeColor="accent6"/>
          <w:szCs w:val="20"/>
        </w:rPr>
        <w:t>Zachary Kalikow, PharmD</w:t>
      </w:r>
    </w:p>
    <w:p w14:paraId="00D4AEE5" w14:textId="77777777" w:rsidR="002D7F07" w:rsidRPr="002D7F07" w:rsidRDefault="002D7F07" w:rsidP="002D7F07">
      <w:pPr>
        <w:pStyle w:val="Heading3"/>
        <w:contextualSpacing/>
        <w:rPr>
          <w:rFonts w:eastAsia="Calibri" w:cs="Arial"/>
          <w:b w:val="0"/>
          <w:bCs w:val="0"/>
          <w:color w:val="696969" w:themeColor="accent6"/>
          <w:szCs w:val="20"/>
        </w:rPr>
      </w:pPr>
      <w:r w:rsidRPr="002D7F07">
        <w:rPr>
          <w:rFonts w:eastAsia="Calibri" w:cs="Arial"/>
          <w:b w:val="0"/>
          <w:bCs w:val="0"/>
          <w:color w:val="696969" w:themeColor="accent6"/>
          <w:szCs w:val="20"/>
        </w:rPr>
        <w:t>Pharmacist</w:t>
      </w:r>
    </w:p>
    <w:p w14:paraId="7A463F4F" w14:textId="77777777" w:rsidR="002D7F07" w:rsidRPr="002D7F07" w:rsidRDefault="002D7F07" w:rsidP="002D7F07">
      <w:pPr>
        <w:pStyle w:val="Heading3"/>
        <w:contextualSpacing/>
        <w:rPr>
          <w:rFonts w:eastAsia="Calibri" w:cs="Arial"/>
          <w:b w:val="0"/>
          <w:bCs w:val="0"/>
          <w:color w:val="696969" w:themeColor="accent6"/>
          <w:szCs w:val="20"/>
        </w:rPr>
      </w:pPr>
      <w:proofErr w:type="spellStart"/>
      <w:r w:rsidRPr="002D7F07">
        <w:rPr>
          <w:rFonts w:eastAsia="Calibri" w:cs="Arial"/>
          <w:b w:val="0"/>
          <w:bCs w:val="0"/>
          <w:color w:val="696969" w:themeColor="accent6"/>
          <w:szCs w:val="20"/>
        </w:rPr>
        <w:t>ChristianaCare</w:t>
      </w:r>
      <w:proofErr w:type="spellEnd"/>
      <w:r w:rsidRPr="002D7F07">
        <w:rPr>
          <w:rFonts w:eastAsia="Calibri" w:cs="Arial"/>
          <w:b w:val="0"/>
          <w:bCs w:val="0"/>
          <w:color w:val="696969" w:themeColor="accent6"/>
          <w:szCs w:val="20"/>
        </w:rPr>
        <w:t xml:space="preserve"> Health System</w:t>
      </w:r>
    </w:p>
    <w:p w14:paraId="73F7BBC6" w14:textId="77777777" w:rsidR="002D7F07" w:rsidRPr="002D7F07" w:rsidRDefault="002D7F07" w:rsidP="002D7F07">
      <w:pPr>
        <w:pStyle w:val="Heading3"/>
        <w:contextualSpacing/>
        <w:rPr>
          <w:rFonts w:eastAsia="Calibri" w:cs="Arial"/>
          <w:b w:val="0"/>
          <w:bCs w:val="0"/>
          <w:color w:val="696969" w:themeColor="accent6"/>
          <w:szCs w:val="20"/>
        </w:rPr>
      </w:pPr>
    </w:p>
    <w:p w14:paraId="01EB8CE6" w14:textId="77777777" w:rsidR="002D7F07" w:rsidRPr="002D7F07" w:rsidRDefault="002D7F07" w:rsidP="002D7F07">
      <w:pPr>
        <w:pStyle w:val="Heading3"/>
        <w:contextualSpacing/>
        <w:rPr>
          <w:rFonts w:eastAsia="Calibri" w:cs="Arial"/>
          <w:b w:val="0"/>
          <w:bCs w:val="0"/>
          <w:color w:val="696969" w:themeColor="accent6"/>
          <w:szCs w:val="20"/>
        </w:rPr>
      </w:pPr>
      <w:r w:rsidRPr="002D7F07">
        <w:rPr>
          <w:rFonts w:eastAsia="Calibri" w:cs="Arial"/>
          <w:b w:val="0"/>
          <w:bCs w:val="0"/>
          <w:color w:val="696969" w:themeColor="accent6"/>
          <w:szCs w:val="20"/>
        </w:rPr>
        <w:t>Rachel Fett, PharmD, BCPS, BCCCP</w:t>
      </w:r>
    </w:p>
    <w:p w14:paraId="448911AC" w14:textId="77777777" w:rsidR="002D7F07" w:rsidRPr="002D7F07" w:rsidRDefault="002D7F07" w:rsidP="002D7F07">
      <w:pPr>
        <w:pStyle w:val="Heading3"/>
        <w:contextualSpacing/>
        <w:rPr>
          <w:rFonts w:eastAsia="Calibri" w:cs="Arial"/>
          <w:b w:val="0"/>
          <w:bCs w:val="0"/>
          <w:color w:val="696969" w:themeColor="accent6"/>
          <w:szCs w:val="20"/>
        </w:rPr>
      </w:pPr>
      <w:r w:rsidRPr="002D7F07">
        <w:rPr>
          <w:rFonts w:eastAsia="Calibri" w:cs="Arial"/>
          <w:b w:val="0"/>
          <w:bCs w:val="0"/>
          <w:color w:val="696969" w:themeColor="accent6"/>
          <w:szCs w:val="20"/>
        </w:rPr>
        <w:t>Pharmacist</w:t>
      </w:r>
    </w:p>
    <w:p w14:paraId="7A9F27F3" w14:textId="36090264" w:rsidR="007B46F7" w:rsidRDefault="002D7F07" w:rsidP="002D7F07">
      <w:pPr>
        <w:pStyle w:val="Heading3"/>
        <w:spacing w:before="0"/>
        <w:contextualSpacing/>
        <w:rPr>
          <w:rFonts w:eastAsia="Calibri" w:cs="Arial"/>
          <w:b w:val="0"/>
          <w:bCs w:val="0"/>
          <w:color w:val="696969" w:themeColor="accent6"/>
          <w:szCs w:val="20"/>
        </w:rPr>
      </w:pPr>
      <w:proofErr w:type="spellStart"/>
      <w:r w:rsidRPr="002D7F07">
        <w:rPr>
          <w:rFonts w:eastAsia="Calibri" w:cs="Arial"/>
          <w:b w:val="0"/>
          <w:bCs w:val="0"/>
          <w:color w:val="696969" w:themeColor="accent6"/>
          <w:szCs w:val="20"/>
        </w:rPr>
        <w:t>ChristianaCare</w:t>
      </w:r>
      <w:proofErr w:type="spellEnd"/>
      <w:r w:rsidRPr="002D7F07">
        <w:rPr>
          <w:rFonts w:eastAsia="Calibri" w:cs="Arial"/>
          <w:b w:val="0"/>
          <w:bCs w:val="0"/>
          <w:color w:val="696969" w:themeColor="accent6"/>
          <w:szCs w:val="20"/>
        </w:rPr>
        <w:t xml:space="preserve"> Health System</w:t>
      </w:r>
    </w:p>
    <w:p w14:paraId="12AD7BDD" w14:textId="77777777" w:rsidR="002D7F07" w:rsidRPr="002D7F07" w:rsidRDefault="002D7F07" w:rsidP="002D7F07"/>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Pr="002D7F07"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disclose any discussion of (1) off-label/unapproved or investigational uses of FDA approved commercial products </w:t>
      </w:r>
      <w:r w:rsidR="001D37B1" w:rsidRPr="002D7F07">
        <w:rPr>
          <w:rFonts w:eastAsia="Calibri" w:cs="Arial"/>
          <w:bCs/>
          <w:color w:val="696969" w:themeColor="accent6"/>
          <w:szCs w:val="20"/>
        </w:rPr>
        <w:t>or devices and/or (2) products or devices not yet approved in the United States.</w:t>
      </w:r>
    </w:p>
    <w:bookmarkEnd w:id="6"/>
    <w:p w14:paraId="4B200146" w14:textId="07F85670" w:rsidR="00953443" w:rsidRPr="002D7F07" w:rsidRDefault="00B9413D" w:rsidP="00F6315D">
      <w:pPr>
        <w:spacing w:after="160" w:line="252" w:lineRule="auto"/>
        <w:rPr>
          <w:rFonts w:eastAsia="Calibri" w:cs="Arial"/>
          <w:bCs/>
          <w:color w:val="696969" w:themeColor="accent6"/>
          <w:szCs w:val="20"/>
        </w:rPr>
      </w:pPr>
      <w:r w:rsidRPr="002D7F07">
        <w:rPr>
          <w:rFonts w:eastAsia="Calibri" w:cs="Arial"/>
          <w:bCs/>
          <w:color w:val="696969" w:themeColor="accent6"/>
          <w:szCs w:val="20"/>
        </w:rPr>
        <w:t>Usage Disclosure: “</w:t>
      </w:r>
      <w:r w:rsidR="00953443" w:rsidRPr="002D7F07">
        <w:rPr>
          <w:rFonts w:cstheme="majorBidi"/>
          <w:b/>
          <w:bCs/>
          <w:color w:val="01ADAB" w:themeColor="accent4"/>
          <w:szCs w:val="20"/>
        </w:rPr>
        <w:t xml:space="preserve">Off-label/unapproved drug </w:t>
      </w:r>
      <w:proofErr w:type="gramStart"/>
      <w:r w:rsidR="00041015" w:rsidRPr="002D7F07">
        <w:rPr>
          <w:rFonts w:cstheme="majorBidi"/>
          <w:b/>
          <w:bCs/>
          <w:color w:val="01ADAB" w:themeColor="accent4"/>
          <w:szCs w:val="20"/>
        </w:rPr>
        <w:t>uses</w:t>
      </w:r>
      <w:proofErr w:type="gramEnd"/>
      <w:r w:rsidR="00953443" w:rsidRPr="002D7F07">
        <w:rPr>
          <w:rFonts w:cstheme="majorBidi"/>
          <w:b/>
          <w:bCs/>
          <w:color w:val="01ADAB" w:themeColor="accent4"/>
          <w:szCs w:val="20"/>
        </w:rPr>
        <w:t xml:space="preserve"> or products are mentioned within this activity.</w:t>
      </w:r>
      <w:r w:rsidRPr="002D7F07">
        <w:rPr>
          <w:rFonts w:eastAsia="Calibri" w:cs="Arial"/>
          <w:bCs/>
          <w:color w:val="696969" w:themeColor="accent6"/>
          <w:szCs w:val="20"/>
        </w:rPr>
        <w:t>”</w:t>
      </w:r>
    </w:p>
    <w:bookmarkEnd w:id="7"/>
    <w:p w14:paraId="5B8B2DA3" w14:textId="31BF5D9C" w:rsidR="00F25D28" w:rsidRDefault="00A67C74" w:rsidP="00BC3423">
      <w:pPr>
        <w:spacing w:after="160" w:line="252" w:lineRule="auto"/>
        <w:rPr>
          <w:rFonts w:eastAsia="Calibri" w:cs="Arial"/>
          <w:bCs/>
          <w:color w:val="696969" w:themeColor="accent6"/>
          <w:szCs w:val="20"/>
        </w:rPr>
      </w:pPr>
      <w:r w:rsidRPr="002D7F07">
        <w:rPr>
          <w:rFonts w:eastAsia="Calibri" w:cs="Arial"/>
          <w:bCs/>
          <w:color w:val="696969" w:themeColor="accent6"/>
          <w:szCs w:val="20"/>
        </w:rPr>
        <w:t xml:space="preserve">Evidence-based Content: </w:t>
      </w:r>
      <w:r w:rsidRPr="002D7F07">
        <w:rPr>
          <w:rFonts w:eastAsia="Calibri" w:cs="Arial"/>
          <w:b/>
          <w:color w:val="696969" w:themeColor="accent6"/>
          <w:szCs w:val="20"/>
        </w:rPr>
        <w:t>“</w:t>
      </w:r>
      <w:r w:rsidRPr="002D7F07">
        <w:rPr>
          <w:rFonts w:cstheme="majorBidi"/>
          <w:b/>
          <w:bCs/>
          <w:color w:val="01ADAB" w:themeColor="accent4"/>
          <w:szCs w:val="20"/>
        </w:rPr>
        <w:t>Low/absen</w:t>
      </w:r>
      <w:r w:rsidR="00912146" w:rsidRPr="002D7F07">
        <w:rPr>
          <w:rFonts w:cstheme="majorBidi"/>
          <w:b/>
          <w:bCs/>
          <w:color w:val="01ADAB" w:themeColor="accent4"/>
          <w:szCs w:val="20"/>
        </w:rPr>
        <w:t>ce of</w:t>
      </w:r>
      <w:r w:rsidRPr="002D7F07">
        <w:rPr>
          <w:rFonts w:cstheme="majorBidi"/>
          <w:b/>
          <w:bCs/>
          <w:color w:val="01ADAB" w:themeColor="accent4"/>
          <w:szCs w:val="20"/>
        </w:rPr>
        <w:t xml:space="preserve"> evidence-based topics are mentioned within this activity</w:t>
      </w:r>
      <w:r w:rsidRPr="002D7F07">
        <w:rPr>
          <w:rFonts w:eastAsia="Calibri" w:cs="Arial"/>
          <w:b/>
          <w:color w:val="696969" w:themeColor="accent6"/>
          <w:szCs w:val="20"/>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5"/>
    <w:bookmarkEnd w:id="8"/>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C893" w14:textId="77777777" w:rsidR="001F0F7A" w:rsidRDefault="001F0F7A" w:rsidP="00971D43">
      <w:r>
        <w:separator/>
      </w:r>
    </w:p>
  </w:endnote>
  <w:endnote w:type="continuationSeparator" w:id="0">
    <w:p w14:paraId="360E9FCA" w14:textId="77777777" w:rsidR="001F0F7A" w:rsidRDefault="001F0F7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424D" w14:textId="77777777" w:rsidR="001F0F7A" w:rsidRDefault="001F0F7A" w:rsidP="00971D43">
      <w:r>
        <w:separator/>
      </w:r>
    </w:p>
  </w:footnote>
  <w:footnote w:type="continuationSeparator" w:id="0">
    <w:p w14:paraId="3A0BE131" w14:textId="77777777" w:rsidR="001F0F7A" w:rsidRDefault="001F0F7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84139"/>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232E"/>
    <w:rsid w:val="001D2425"/>
    <w:rsid w:val="001D3415"/>
    <w:rsid w:val="001D37B1"/>
    <w:rsid w:val="001D56DD"/>
    <w:rsid w:val="001F0E95"/>
    <w:rsid w:val="001F0F7A"/>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D7F07"/>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24593653">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1.xml><?xml version="1.0" encoding="utf-8"?>
<VariableUsageMapping/>
</file>

<file path=customXml/item12.xml><?xml version="1.0" encoding="utf-8"?>
<SourceDataModel Name="AD_HOC" TargetDataSourceId="80be7e5f-6e71-448c-9228-23264555308c"/>
</file>

<file path=customXml/item13.xml><?xml version="1.0" encoding="utf-8"?>
<SourceDataModel Name="Computed" TargetDataSourceId="87651697-ca1f-4d80-9f69-bb743e325714"/>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SourceDataModel Name="System" TargetDataSourceId="00b80028-d226-4a39-9a19-6787589aad19"/>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AllMetadata/>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ocPartTree/>
</file>

<file path=customXml/item23.xml><?xml version="1.0" encoding="utf-8"?>
<AllWordPDs>
</AllWordPDs>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Definition name="Computed" displayName="Computed" id="69155e26-4760-488b-ab4c-bb15b0f8b2a2" isdomainofvalue="False" dataSourceId="87651697-ca1f-4d80-9f69-bb743e325714"/>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Definition name="AD_HOC" displayName="AD_HOC" id="9426ea6f-1b24-4683-bca3-85d71f6375fd" isdomainofvalue="False" dataSourceId="80be7e5f-6e71-448c-9228-23264555308c"/>
</file>

<file path=customXml/item7.xml><?xml version="1.0" encoding="utf-8"?>
<VariableListDefinition name="System" displayName="System" id="dc9731b4-d0d2-4ed5-b20d-434d69de1706" isdomainofvalue="False" dataSourceId="00b80028-d226-4a39-9a19-6787589aad19"/>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AllExternalAdhocVariableMappings/>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4</cp:revision>
  <cp:lastPrinted>2015-12-22T16:01:00Z</cp:lastPrinted>
  <dcterms:created xsi:type="dcterms:W3CDTF">2023-01-03T17:10:00Z</dcterms:created>
  <dcterms:modified xsi:type="dcterms:W3CDTF">2023-01-04T13:50:00Z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