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21F4797" w14:textId="6EA5341C" w:rsidR="00423054" w:rsidRPr="00E50346" w:rsidRDefault="00312ADA" w:rsidP="007D643E">
      <w:pPr>
        <w:pStyle w:val="Heading"/>
        <w:tabs>
          <w:tab w:val="left" w:pos="3040"/>
          <w:tab w:val="left" w:pos="5410"/>
        </w:tabs>
      </w:pPr>
      <w:r>
        <w:t>Navigating Therapeutic Uncertainties</w:t>
      </w:r>
      <w:r w:rsidR="003C204D">
        <w:t xml:space="preserve"> – On Demand</w:t>
      </w:r>
      <w:r w:rsidR="007D643E">
        <w:tab/>
      </w:r>
      <w:r w:rsidR="007D643E">
        <w:tab/>
      </w:r>
    </w:p>
    <w:p w14:paraId="71DF3661" w14:textId="3FC30A22" w:rsidR="00924A66" w:rsidRDefault="00312ADA" w:rsidP="00924A66">
      <w:pPr>
        <w:pStyle w:val="BodyText1"/>
        <w:spacing w:after="0" w:line="240" w:lineRule="auto"/>
        <w:rPr>
          <w:rFonts w:eastAsia="Calibri"/>
          <w:b/>
          <w:color w:val="FF4E00"/>
        </w:rPr>
      </w:pPr>
      <w:r>
        <w:rPr>
          <w:rFonts w:eastAsia="Calibri"/>
          <w:b/>
          <w:color w:val="FF4E00"/>
        </w:rPr>
        <w:t>Octobe</w:t>
      </w:r>
      <w:r w:rsidR="00481874">
        <w:rPr>
          <w:rFonts w:eastAsia="Calibri"/>
          <w:b/>
          <w:color w:val="FF4E00"/>
        </w:rPr>
        <w:t>r 22, 2022 – October 21, 2023</w:t>
      </w:r>
    </w:p>
    <w:p w14:paraId="7321623E" w14:textId="77777777" w:rsidR="00924A66" w:rsidRPr="00924A66" w:rsidRDefault="00924A66" w:rsidP="00924A66">
      <w:pPr>
        <w:rPr>
          <w:rFonts w:cs="Arial"/>
          <w:b/>
          <w:color w:val="FF4E00" w:themeColor="accent1"/>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0A3B9D07" w14:textId="0FC053A0" w:rsidR="0098047F" w:rsidRDefault="0098047F" w:rsidP="0098047F">
      <w:pPr>
        <w:spacing w:line="276" w:lineRule="auto"/>
        <w:rPr>
          <w:rFonts w:cs="Arial"/>
          <w:color w:val="595959" w:themeColor="text1" w:themeTint="A6"/>
          <w:szCs w:val="20"/>
        </w:rPr>
      </w:pPr>
      <w:r w:rsidRPr="007275A6">
        <w:rPr>
          <w:rFonts w:cs="Arial"/>
          <w:color w:val="595959" w:themeColor="text1" w:themeTint="A6"/>
          <w:szCs w:val="20"/>
        </w:rPr>
        <w:t xml:space="preserve">Vizient is committed to complying with the criteria set forth by the accrediting </w:t>
      </w:r>
      <w:r>
        <w:rPr>
          <w:rFonts w:cs="Arial"/>
          <w:color w:val="595959" w:themeColor="text1" w:themeTint="A6"/>
          <w:szCs w:val="20"/>
        </w:rPr>
        <w:t>bodies</w:t>
      </w:r>
      <w:r w:rsidRPr="007275A6">
        <w:rPr>
          <w:rFonts w:cs="Arial"/>
          <w:color w:val="595959" w:themeColor="text1" w:themeTint="A6"/>
          <w:szCs w:val="20"/>
        </w:rPr>
        <w:t xml:space="preserve"> </w:t>
      </w:r>
      <w:proofErr w:type="gramStart"/>
      <w:r w:rsidRPr="007275A6">
        <w:rPr>
          <w:rFonts w:cs="Arial"/>
          <w:color w:val="595959" w:themeColor="text1" w:themeTint="A6"/>
          <w:szCs w:val="20"/>
        </w:rPr>
        <w:t>in order to</w:t>
      </w:r>
      <w:proofErr w:type="gramEnd"/>
      <w:r w:rsidRPr="007275A6">
        <w:rPr>
          <w:rFonts w:cs="Arial"/>
          <w:color w:val="595959" w:themeColor="text1" w:themeTint="A6"/>
          <w:szCs w:val="20"/>
        </w:rPr>
        <w:t xml:space="preserve"> provide quality</w:t>
      </w:r>
      <w:r>
        <w:rPr>
          <w:rFonts w:cs="Arial"/>
          <w:color w:val="595959" w:themeColor="text1" w:themeTint="A6"/>
          <w:szCs w:val="20"/>
        </w:rPr>
        <w:t xml:space="preserve"> CE </w:t>
      </w:r>
      <w:r w:rsidRPr="007275A6">
        <w:rPr>
          <w:rFonts w:cs="Arial"/>
          <w:color w:val="595959" w:themeColor="text1" w:themeTint="A6"/>
          <w:szCs w:val="20"/>
        </w:rPr>
        <w:t xml:space="preserve">course. </w:t>
      </w:r>
    </w:p>
    <w:p w14:paraId="6054D4E6" w14:textId="77777777" w:rsidR="0098047F" w:rsidRPr="007275A6" w:rsidRDefault="0098047F" w:rsidP="0098047F">
      <w:pPr>
        <w:spacing w:line="276" w:lineRule="auto"/>
        <w:rPr>
          <w:rFonts w:cs="Arial"/>
          <w:color w:val="595959" w:themeColor="text1" w:themeTint="A6"/>
          <w:szCs w:val="20"/>
        </w:rPr>
      </w:pPr>
    </w:p>
    <w:p w14:paraId="54E8ED9D" w14:textId="77777777" w:rsidR="0098047F" w:rsidRDefault="0098047F" w:rsidP="0098047F">
      <w:pPr>
        <w:rPr>
          <w:rFonts w:cs="Arial"/>
          <w:b/>
          <w:color w:val="595959" w:themeColor="text1" w:themeTint="A6"/>
          <w:szCs w:val="20"/>
        </w:rPr>
      </w:pPr>
      <w:r w:rsidRPr="00D50976">
        <w:rPr>
          <w:rFonts w:cs="Arial"/>
          <w:color w:val="595959" w:themeColor="text1" w:themeTint="A6"/>
          <w:szCs w:val="20"/>
        </w:rPr>
        <w:t>We appreciate your participation and value your feedback! </w:t>
      </w:r>
      <w:r>
        <w:rPr>
          <w:rFonts w:cs="Arial"/>
          <w:color w:val="595959" w:themeColor="text1" w:themeTint="A6"/>
          <w:szCs w:val="20"/>
        </w:rPr>
        <w:t>Use these instructions to claim</w:t>
      </w:r>
      <w:r w:rsidRPr="00D50976">
        <w:rPr>
          <w:rFonts w:cs="Arial"/>
          <w:color w:val="595959" w:themeColor="text1" w:themeTint="A6"/>
          <w:szCs w:val="20"/>
        </w:rPr>
        <w:t xml:space="preserve"> continuing education credit. </w:t>
      </w:r>
      <w:r w:rsidRPr="0098047F">
        <w:rPr>
          <w:rFonts w:cs="Arial"/>
          <w:bCs/>
          <w:color w:val="595959" w:themeColor="text1" w:themeTint="A6"/>
          <w:szCs w:val="20"/>
        </w:rPr>
        <w:t xml:space="preserve">You will need to use </w:t>
      </w:r>
      <w:r w:rsidRPr="0098047F">
        <w:rPr>
          <w:rFonts w:cs="Arial"/>
          <w:bCs/>
          <w:color w:val="595959" w:themeColor="text1" w:themeTint="A6"/>
          <w:szCs w:val="20"/>
          <w:u w:val="single"/>
        </w:rPr>
        <w:t>Chrome as opposed to Internet Explorer</w:t>
      </w:r>
      <w:r w:rsidRPr="0098047F">
        <w:rPr>
          <w:rFonts w:cs="Arial"/>
          <w:bCs/>
          <w:color w:val="595959" w:themeColor="text1" w:themeTint="A6"/>
          <w:szCs w:val="20"/>
        </w:rPr>
        <w:t xml:space="preserve"> when obtaining credit for this course.</w:t>
      </w:r>
      <w:r w:rsidRPr="00EC14B3">
        <w:rPr>
          <w:rFonts w:cs="Arial"/>
          <w:b/>
          <w:color w:val="595959" w:themeColor="text1" w:themeTint="A6"/>
          <w:szCs w:val="20"/>
        </w:rPr>
        <w:t xml:space="preserve"> </w:t>
      </w:r>
    </w:p>
    <w:p w14:paraId="54B97E70" w14:textId="77777777" w:rsidR="0098047F" w:rsidRDefault="0098047F" w:rsidP="0098047F">
      <w:pPr>
        <w:rPr>
          <w:rFonts w:cs="Arial"/>
          <w:b/>
          <w:color w:val="595959" w:themeColor="text1" w:themeTint="A6"/>
          <w:szCs w:val="20"/>
        </w:rPr>
      </w:pPr>
    </w:p>
    <w:p w14:paraId="1EAA0D75" w14:textId="7364D359" w:rsidR="0098047F" w:rsidRPr="00955A6A" w:rsidRDefault="0098047F" w:rsidP="0098047F">
      <w:pPr>
        <w:rPr>
          <w:rFonts w:cs="Arial"/>
          <w:color w:val="595959" w:themeColor="text1" w:themeTint="A6"/>
          <w:szCs w:val="20"/>
        </w:rPr>
      </w:pPr>
      <w:r>
        <w:rPr>
          <w:rFonts w:cs="Arial"/>
          <w:color w:val="595959" w:themeColor="text1" w:themeTint="A6"/>
          <w:szCs w:val="20"/>
        </w:rPr>
        <w:t xml:space="preserve">To </w:t>
      </w:r>
      <w:r w:rsidRPr="0098047F">
        <w:rPr>
          <w:rFonts w:cs="Arial"/>
          <w:b/>
          <w:bCs/>
          <w:color w:val="595959" w:themeColor="text1" w:themeTint="A6"/>
          <w:szCs w:val="20"/>
        </w:rPr>
        <w:t>earn CE credit</w:t>
      </w:r>
      <w:r>
        <w:rPr>
          <w:rFonts w:cs="Arial"/>
          <w:color w:val="595959" w:themeColor="text1" w:themeTint="A6"/>
          <w:szCs w:val="20"/>
        </w:rPr>
        <w:t>, you must watch the presentation, pass the post-test with a score of 70% or better and submit the evaluation.</w:t>
      </w:r>
    </w:p>
    <w:p w14:paraId="7DBA86F8" w14:textId="77777777" w:rsidR="0098047F" w:rsidRDefault="0098047F" w:rsidP="00A67FA4">
      <w:pPr>
        <w:autoSpaceDE w:val="0"/>
        <w:autoSpaceDN w:val="0"/>
        <w:adjustRightInd w:val="0"/>
        <w:spacing w:after="120" w:line="276" w:lineRule="auto"/>
        <w:rPr>
          <w:rFonts w:cs="Arial"/>
          <w:color w:val="696969"/>
          <w:szCs w:val="20"/>
        </w:rPr>
      </w:pPr>
    </w:p>
    <w:p w14:paraId="31ABB3C0" w14:textId="4216BF6D"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4FF07211" w:rsidR="00A67FA4" w:rsidRPr="003C204D" w:rsidRDefault="00270388" w:rsidP="00A67FA4">
      <w:pPr>
        <w:pStyle w:val="ListParagraph"/>
        <w:numPr>
          <w:ilvl w:val="0"/>
          <w:numId w:val="12"/>
        </w:numPr>
        <w:autoSpaceDE w:val="0"/>
        <w:autoSpaceDN w:val="0"/>
        <w:adjustRightInd w:val="0"/>
        <w:spacing w:after="120" w:line="276" w:lineRule="auto"/>
        <w:ind w:left="360"/>
        <w:rPr>
          <w:rFonts w:cs="Arial"/>
          <w:b/>
          <w:bCs/>
          <w:color w:val="FF4E00" w:themeColor="accent1"/>
          <w:szCs w:val="20"/>
        </w:rPr>
      </w:pPr>
      <w:hyperlink r:id="rId34" w:history="1">
        <w:r w:rsidR="00E07042" w:rsidRPr="00270388">
          <w:rPr>
            <w:rStyle w:val="Hyperlink"/>
            <w:rFonts w:cs="Arial"/>
            <w:b/>
            <w:bCs/>
            <w:szCs w:val="20"/>
          </w:rPr>
          <w:t>Click here to play recording</w:t>
        </w:r>
      </w:hyperlink>
      <w:r w:rsidR="00E07042" w:rsidRPr="00F64DE8">
        <w:rPr>
          <w:color w:val="595959" w:themeColor="text1" w:themeTint="A6"/>
        </w:rPr>
        <w:t xml:space="preserve"> </w:t>
      </w:r>
      <w:r w:rsidR="00A67FA4" w:rsidRPr="007275A6">
        <w:rPr>
          <w:rFonts w:cs="Arial"/>
          <w:color w:val="595959" w:themeColor="text1" w:themeTint="A6"/>
          <w:szCs w:val="20"/>
        </w:rPr>
        <w:t>(60 minutes)</w:t>
      </w:r>
      <w:r w:rsidR="00E07042">
        <w:rPr>
          <w:rFonts w:cs="Arial"/>
          <w:color w:val="595959" w:themeColor="text1" w:themeTint="A6"/>
          <w:szCs w:val="20"/>
        </w:rPr>
        <w:t xml:space="preserve"> or copy and paste this link into your browser</w:t>
      </w:r>
      <w:r w:rsidR="003C204D">
        <w:rPr>
          <w:rFonts w:cs="Arial"/>
          <w:color w:val="595959" w:themeColor="text1" w:themeTint="A6"/>
          <w:szCs w:val="20"/>
        </w:rPr>
        <w:t xml:space="preserve">: </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715650A5"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Estimated time to complete activity – 75 minutes (viewing course and co</w:t>
      </w:r>
      <w:r w:rsidR="00AE086C">
        <w:rPr>
          <w:rFonts w:cs="Arial"/>
          <w:color w:val="595959" w:themeColor="text1" w:themeTint="A6"/>
          <w:szCs w:val="20"/>
        </w:rPr>
        <w:t>mpleting online process</w:t>
      </w:r>
      <w:r w:rsidRPr="007275A6">
        <w:rPr>
          <w:rFonts w:cs="Arial"/>
          <w:color w:val="595959" w:themeColor="text1" w:themeTint="A6"/>
          <w:szCs w:val="20"/>
        </w:rPr>
        <w:t>)</w:t>
      </w:r>
    </w:p>
    <w:p w14:paraId="6F5403E7" w14:textId="77777777" w:rsidR="00A67FA4" w:rsidRPr="007275A6" w:rsidRDefault="00A67FA4" w:rsidP="001E18F7">
      <w:pPr>
        <w:spacing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1E18F7">
      <w:pPr>
        <w:rPr>
          <w:rFonts w:cs="Arial"/>
          <w:color w:val="595959" w:themeColor="text1" w:themeTint="A6"/>
          <w:szCs w:val="20"/>
        </w:rPr>
      </w:pPr>
    </w:p>
    <w:p w14:paraId="359DFF03" w14:textId="68F88077" w:rsidR="00510C62" w:rsidRDefault="00510C62" w:rsidP="001E18F7">
      <w:pPr>
        <w:rPr>
          <w:rFonts w:cs="Arial"/>
          <w:color w:val="595959" w:themeColor="text1" w:themeTint="A6"/>
          <w:szCs w:val="20"/>
        </w:rPr>
      </w:pPr>
      <w:r w:rsidRPr="007275A6">
        <w:rPr>
          <w:rFonts w:cs="Arial"/>
          <w:color w:val="595959" w:themeColor="text1" w:themeTint="A6"/>
          <w:szCs w:val="20"/>
        </w:rPr>
        <w:t xml:space="preserve">To complete </w:t>
      </w:r>
      <w:r w:rsidR="00AA2877">
        <w:rPr>
          <w:rFonts w:cs="Arial"/>
          <w:color w:val="595959" w:themeColor="text1" w:themeTint="A6"/>
          <w:szCs w:val="20"/>
        </w:rPr>
        <w:t xml:space="preserve">the online </w:t>
      </w:r>
      <w:r w:rsidRPr="007275A6">
        <w:rPr>
          <w:rFonts w:cs="Arial"/>
          <w:color w:val="595959" w:themeColor="text1" w:themeTint="A6"/>
          <w:szCs w:val="20"/>
        </w:rPr>
        <w:t xml:space="preserve">continuing education </w:t>
      </w:r>
      <w:r w:rsidR="00AA2877">
        <w:rPr>
          <w:rFonts w:cs="Arial"/>
          <w:color w:val="595959" w:themeColor="text1" w:themeTint="A6"/>
          <w:szCs w:val="20"/>
        </w:rPr>
        <w:t>process</w:t>
      </w:r>
      <w:r w:rsidRPr="007275A6">
        <w:rPr>
          <w:rFonts w:cs="Arial"/>
          <w:color w:val="595959" w:themeColor="text1" w:themeTint="A6"/>
          <w:szCs w:val="20"/>
        </w:rPr>
        <w:t xml:space="preserve"> and receive credit:</w:t>
      </w:r>
    </w:p>
    <w:p w14:paraId="2065337E" w14:textId="77777777" w:rsidR="00352451" w:rsidRPr="007275A6" w:rsidRDefault="00352451" w:rsidP="001E18F7">
      <w:pPr>
        <w:rPr>
          <w:rFonts w:cs="Arial"/>
          <w:color w:val="595959" w:themeColor="text1" w:themeTint="A6"/>
          <w:szCs w:val="20"/>
        </w:rPr>
      </w:pPr>
    </w:p>
    <w:p w14:paraId="094CE3DE" w14:textId="1AA2D233" w:rsidR="00510C62" w:rsidRPr="007275A6" w:rsidRDefault="00A219B5" w:rsidP="004C5338">
      <w:pPr>
        <w:pStyle w:val="ListParagraph"/>
        <w:numPr>
          <w:ilvl w:val="0"/>
          <w:numId w:val="11"/>
        </w:numPr>
        <w:spacing w:after="120"/>
        <w:ind w:left="360"/>
        <w:rPr>
          <w:rFonts w:cs="Arial"/>
          <w:color w:val="595959" w:themeColor="text1" w:themeTint="A6"/>
          <w:szCs w:val="20"/>
        </w:rPr>
      </w:pPr>
      <w:hyperlink r:id="rId35" w:history="1">
        <w:r w:rsidR="00510C62" w:rsidRPr="00E56D1C">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r w:rsidR="007B5048">
        <w:rPr>
          <w:rFonts w:cs="Arial"/>
          <w:color w:val="595959" w:themeColor="text1" w:themeTint="A6"/>
          <w:szCs w:val="20"/>
        </w:rPr>
        <w:t>.</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p w14:paraId="3C21674F" w14:textId="1B8B0A9C" w:rsidR="00DC37B4" w:rsidRDefault="00A219B5" w:rsidP="003E2ACE">
      <w:pPr>
        <w:rPr>
          <w:rFonts w:cs="Arial"/>
          <w:b/>
          <w:color w:val="FF4E00" w:themeColor="accent1"/>
          <w:szCs w:val="20"/>
        </w:rPr>
      </w:pPr>
      <w:hyperlink r:id="rId36" w:history="1">
        <w:r w:rsidR="00E56D1C" w:rsidRPr="00883CCD">
          <w:rPr>
            <w:rStyle w:val="Hyperlink"/>
            <w:rFonts w:cs="Arial"/>
            <w:b/>
            <w:szCs w:val="20"/>
          </w:rPr>
          <w:t>https://continuingeducation.vizientinc.com/content/navigating-therapeutic-uncertainties-review-recent-vizient-expert-panels-demand</w:t>
        </w:r>
      </w:hyperlink>
    </w:p>
    <w:p w14:paraId="2FF380A8" w14:textId="77777777" w:rsidR="00E56D1C" w:rsidRDefault="00E56D1C" w:rsidP="003E2ACE">
      <w:pPr>
        <w:rPr>
          <w:rFonts w:cs="Arial"/>
          <w:b/>
          <w:color w:val="FF0000"/>
          <w:szCs w:val="20"/>
        </w:rPr>
      </w:pPr>
    </w:p>
    <w:p w14:paraId="7DE6BD5C" w14:textId="71EF597E" w:rsidR="0078645D" w:rsidRDefault="000526B9" w:rsidP="0078645D">
      <w:pPr>
        <w:rPr>
          <w:rFonts w:cs="Arial"/>
          <w:color w:val="595959" w:themeColor="text1" w:themeTint="A6"/>
          <w:szCs w:val="20"/>
        </w:rPr>
      </w:pPr>
      <w:bookmarkStart w:id="0" w:name="_Hlk109995154"/>
      <w:r w:rsidRPr="00C17982">
        <w:rPr>
          <w:color w:val="595959" w:themeColor="text1" w:themeTint="A6"/>
        </w:rPr>
        <w:t xml:space="preserve">A Vizient login account is required to receive CE credit.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7" w:history="1">
        <w:r w:rsidR="0078645D" w:rsidRPr="00D531EB">
          <w:rPr>
            <w:rStyle w:val="Hyperlink"/>
            <w:rFonts w:cs="Arial"/>
            <w:color w:val="00817F" w:themeColor="accent4" w:themeShade="BF"/>
            <w:szCs w:val="20"/>
          </w:rPr>
          <w:t>VizientSupport@Vizientinc.com</w:t>
        </w:r>
      </w:hyperlink>
      <w:r w:rsidR="0078645D" w:rsidRPr="00D531EB">
        <w:rPr>
          <w:rFonts w:cs="Arial"/>
          <w:color w:val="00817F" w:themeColor="accent4" w:themeShade="BF"/>
          <w:szCs w:val="20"/>
        </w:rPr>
        <w:t xml:space="preserve"> </w:t>
      </w:r>
      <w:r w:rsidR="0078645D" w:rsidRPr="007275A6">
        <w:rPr>
          <w:rFonts w:cs="Arial"/>
          <w:color w:val="595959" w:themeColor="text1" w:themeTint="A6"/>
          <w:szCs w:val="20"/>
        </w:rPr>
        <w:t>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bookmarkStart w:id="1" w:name="_Hlk55906650"/>
    </w:p>
    <w:p w14:paraId="0B819683" w14:textId="77777777" w:rsidR="00D76A99" w:rsidRPr="009E15AC" w:rsidRDefault="0078645D" w:rsidP="00D76A99">
      <w:pPr>
        <w:rPr>
          <w:rFonts w:cs="Arial"/>
          <w:color w:val="595959" w:themeColor="text1" w:themeTint="A6"/>
          <w:szCs w:val="20"/>
        </w:rPr>
      </w:pPr>
      <w:r w:rsidRPr="007275A6">
        <w:rPr>
          <w:rFonts w:cs="Arial"/>
          <w:color w:val="595959" w:themeColor="text1" w:themeTint="A6"/>
          <w:szCs w:val="20"/>
        </w:rPr>
        <w:t xml:space="preserve">You may be asked to update your profile during the process. </w:t>
      </w:r>
      <w:r w:rsidRPr="007275A6">
        <w:rPr>
          <w:rFonts w:cs="Arial"/>
          <w:b/>
          <w:color w:val="595959" w:themeColor="text1" w:themeTint="A6"/>
          <w:szCs w:val="20"/>
        </w:rPr>
        <w:t>It is important that you select your Discipline type in your user profile.</w:t>
      </w:r>
      <w:r w:rsidR="00A8195B" w:rsidRPr="007275A6">
        <w:rPr>
          <w:rFonts w:cs="Arial"/>
          <w:b/>
          <w:color w:val="595959" w:themeColor="text1" w:themeTint="A6"/>
          <w:szCs w:val="20"/>
        </w:rPr>
        <w:t xml:space="preserve"> </w:t>
      </w:r>
      <w:r w:rsidR="00D76A99" w:rsidRPr="009E15AC">
        <w:rPr>
          <w:rFonts w:cs="Arial"/>
          <w:b/>
          <w:i/>
          <w:color w:val="595959" w:themeColor="text1" w:themeTint="A6"/>
          <w:szCs w:val="20"/>
        </w:rPr>
        <w:t>Pharmacists and Pharmacy Technicians:</w:t>
      </w:r>
      <w:r w:rsidR="00D76A99" w:rsidRPr="009E15AC">
        <w:rPr>
          <w:rFonts w:cs="Arial"/>
          <w:b/>
          <w:color w:val="595959" w:themeColor="text1" w:themeTint="A6"/>
          <w:szCs w:val="20"/>
        </w:rPr>
        <w:t xml:space="preserve"> </w:t>
      </w:r>
      <w:r w:rsidR="00D76A99" w:rsidRPr="009E15AC">
        <w:rPr>
          <w:rFonts w:cs="Arial"/>
          <w:i/>
          <w:color w:val="595959" w:themeColor="text1" w:themeTint="A6"/>
          <w:szCs w:val="20"/>
        </w:rPr>
        <w:t>Please ensure that your Discipline type, NABP ID and birthdate are listed correctly in your profile. Pharmacy credit is uploaded to CPE Monitor based on this information.</w:t>
      </w:r>
    </w:p>
    <w:bookmarkEnd w:id="1"/>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lastRenderedPageBreak/>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Obtain Credit</w:t>
      </w:r>
    </w:p>
    <w:p w14:paraId="6CE65182" w14:textId="493E40C3" w:rsidR="003E2ACE" w:rsidRDefault="007B5048"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 xml:space="preserve">Choose the </w:t>
      </w:r>
      <w:r w:rsidR="00704FB0">
        <w:rPr>
          <w:rFonts w:cs="Arial"/>
          <w:color w:val="595959" w:themeColor="text1" w:themeTint="A6"/>
          <w:szCs w:val="20"/>
        </w:rPr>
        <w:t>“Obtain Credit”</w:t>
      </w:r>
      <w:r>
        <w:rPr>
          <w:rFonts w:cs="Arial"/>
          <w:color w:val="595959" w:themeColor="text1" w:themeTint="A6"/>
          <w:szCs w:val="20"/>
        </w:rPr>
        <w:t xml:space="preserve"> tab.</w:t>
      </w:r>
    </w:p>
    <w:p w14:paraId="7447445D" w14:textId="339B4FA4" w:rsidR="008F5404" w:rsidRPr="008F5404" w:rsidRDefault="008F5404" w:rsidP="008F5404">
      <w:pPr>
        <w:pStyle w:val="ListParagraph"/>
        <w:numPr>
          <w:ilvl w:val="0"/>
          <w:numId w:val="10"/>
        </w:numPr>
        <w:ind w:left="720"/>
        <w:rPr>
          <w:color w:val="3C3C3C" w:themeColor="background2" w:themeShade="40"/>
        </w:rPr>
      </w:pPr>
      <w:r w:rsidRPr="008F5404">
        <w:rPr>
          <w:color w:val="3C3C3C" w:themeColor="background2" w:themeShade="40"/>
        </w:rPr>
        <w:t>Click on the “Obtain Credit” button.</w:t>
      </w:r>
    </w:p>
    <w:p w14:paraId="5AD1EBE0" w14:textId="701380B0"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F577F6">
        <w:rPr>
          <w:rFonts w:cs="Arial"/>
          <w:b/>
          <w:color w:val="FF4E00" w:themeColor="accent1"/>
          <w:szCs w:val="20"/>
        </w:rPr>
        <w:t>October 20, 2023</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4B35F5" w:rsidRDefault="00704FB0" w:rsidP="004B35F5">
      <w:pPr>
        <w:pStyle w:val="ListParagraph"/>
        <w:numPr>
          <w:ilvl w:val="0"/>
          <w:numId w:val="18"/>
        </w:numPr>
        <w:spacing w:line="259" w:lineRule="auto"/>
        <w:rPr>
          <w:rFonts w:cs="Arial"/>
          <w:b/>
          <w:color w:val="595959" w:themeColor="text1" w:themeTint="A6"/>
          <w:szCs w:val="20"/>
        </w:rPr>
      </w:pPr>
      <w:r w:rsidRPr="004B35F5">
        <w:rPr>
          <w:rFonts w:cs="Arial"/>
          <w:color w:val="595959" w:themeColor="text1" w:themeTint="A6"/>
          <w:szCs w:val="20"/>
        </w:rPr>
        <w:t>Click on the “Log in” link at the top right corner of the page to log in.</w:t>
      </w:r>
    </w:p>
    <w:p w14:paraId="1A84975F" w14:textId="77777777" w:rsidR="008F5404" w:rsidRDefault="007B5048" w:rsidP="004B35F5">
      <w:pPr>
        <w:pStyle w:val="ListParagraph"/>
        <w:numPr>
          <w:ilvl w:val="0"/>
          <w:numId w:val="18"/>
        </w:numPr>
        <w:rPr>
          <w:rFonts w:cs="Arial"/>
          <w:color w:val="595959" w:themeColor="text1" w:themeTint="A6"/>
          <w:szCs w:val="20"/>
        </w:rPr>
      </w:pPr>
      <w:r>
        <w:rPr>
          <w:rFonts w:cs="Arial"/>
          <w:color w:val="595959" w:themeColor="text1" w:themeTint="A6"/>
          <w:szCs w:val="20"/>
        </w:rPr>
        <w:t xml:space="preserve">Choose the </w:t>
      </w:r>
      <w:r w:rsidR="00704FB0" w:rsidRPr="004B35F5">
        <w:rPr>
          <w:rFonts w:cs="Arial"/>
          <w:color w:val="595959" w:themeColor="text1" w:themeTint="A6"/>
          <w:szCs w:val="20"/>
        </w:rPr>
        <w:t>“Obtain Credit”</w:t>
      </w:r>
      <w:r w:rsidR="007B5B78">
        <w:rPr>
          <w:rFonts w:cs="Arial"/>
          <w:color w:val="595959" w:themeColor="text1" w:themeTint="A6"/>
          <w:szCs w:val="20"/>
        </w:rPr>
        <w:t xml:space="preserve"> </w:t>
      </w:r>
      <w:r>
        <w:rPr>
          <w:rFonts w:cs="Arial"/>
          <w:color w:val="595959" w:themeColor="text1" w:themeTint="A6"/>
          <w:szCs w:val="20"/>
        </w:rPr>
        <w:t>tab</w:t>
      </w:r>
      <w:r w:rsidR="008F5404">
        <w:rPr>
          <w:rFonts w:cs="Arial"/>
          <w:color w:val="595959" w:themeColor="text1" w:themeTint="A6"/>
          <w:szCs w:val="20"/>
        </w:rPr>
        <w:t>.</w:t>
      </w:r>
    </w:p>
    <w:p w14:paraId="07E9AC2C" w14:textId="77777777" w:rsidR="008F5404"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Click on the “Obtain Credit” button.</w:t>
      </w:r>
    </w:p>
    <w:p w14:paraId="0A28A7C8" w14:textId="4BB4705C" w:rsidR="00704FB0" w:rsidRPr="004B35F5"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F</w:t>
      </w:r>
      <w:r w:rsidR="007B5B78">
        <w:rPr>
          <w:rFonts w:cs="Arial"/>
          <w:color w:val="595959" w:themeColor="text1" w:themeTint="A6"/>
          <w:szCs w:val="20"/>
        </w:rPr>
        <w:t>ollow the instructions below</w:t>
      </w:r>
      <w:r w:rsidR="007B5048">
        <w:rPr>
          <w:rFonts w:cs="Arial"/>
          <w:color w:val="595959" w:themeColor="text1" w:themeTint="A6"/>
          <w:szCs w:val="20"/>
        </w:rPr>
        <w:t>.</w:t>
      </w:r>
    </w:p>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4E1B9002"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DA10BE">
        <w:rPr>
          <w:rFonts w:cs="Arial"/>
          <w:b/>
          <w:color w:val="FF4E00" w:themeColor="accent1"/>
          <w:szCs w:val="20"/>
        </w:rPr>
        <w:t xml:space="preserve">Post-Test </w:t>
      </w:r>
      <w:r w:rsidR="007275A6" w:rsidRPr="00DA10BE">
        <w:rPr>
          <w:rFonts w:cs="Arial"/>
          <w:b/>
          <w:color w:val="FF4E00" w:themeColor="accent1"/>
          <w:szCs w:val="20"/>
        </w:rPr>
        <w:t>–</w:t>
      </w:r>
      <w:r w:rsidRPr="00DA10BE">
        <w:rPr>
          <w:rFonts w:cs="Arial"/>
          <w:b/>
          <w:color w:val="FF4E00" w:themeColor="accent1"/>
          <w:szCs w:val="20"/>
        </w:rPr>
        <w:t xml:space="preserve"> </w:t>
      </w:r>
      <w:r w:rsidR="00D83AB6" w:rsidRPr="00DA10BE">
        <w:rPr>
          <w:rFonts w:cs="Arial"/>
          <w:b/>
          <w:color w:val="FF4E00" w:themeColor="accent1"/>
          <w:szCs w:val="20"/>
        </w:rPr>
        <w:t>Navigating Therapeutic Uncertainties</w:t>
      </w:r>
      <w:r w:rsidR="007275A6" w:rsidRPr="00DA10BE">
        <w:rPr>
          <w:rFonts w:cs="Arial"/>
          <w:b/>
          <w:color w:val="FF4E00" w:themeColor="accent1"/>
          <w:szCs w:val="20"/>
        </w:rPr>
        <w:t xml:space="preserve"> </w:t>
      </w:r>
      <w:r w:rsidR="009B6E1C" w:rsidRPr="00DA10BE">
        <w:rPr>
          <w:rFonts w:cs="Arial"/>
          <w:b/>
          <w:color w:val="FF4E00" w:themeColor="accent1"/>
          <w:szCs w:val="20"/>
        </w:rPr>
        <w:t>– On 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r w:rsidR="007B5048">
        <w:rPr>
          <w:rFonts w:cs="Arial"/>
          <w:color w:val="595959" w:themeColor="text1" w:themeTint="A6"/>
          <w:szCs w:val="20"/>
        </w:rPr>
        <w:t>.</w:t>
      </w:r>
    </w:p>
    <w:p w14:paraId="78C12434" w14:textId="2731C971"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r w:rsidR="007B5048">
        <w:rPr>
          <w:rFonts w:cs="Arial"/>
          <w:color w:val="595959" w:themeColor="text1" w:themeTint="A6"/>
          <w:szCs w:val="20"/>
        </w:rPr>
        <w:t>.</w:t>
      </w:r>
    </w:p>
    <w:p w14:paraId="2496D175" w14:textId="3C09BB4F"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r w:rsidR="007B5048">
        <w:rPr>
          <w:rFonts w:cs="Arial"/>
          <w:color w:val="595959" w:themeColor="text1" w:themeTint="A6"/>
          <w:szCs w:val="20"/>
        </w:rPr>
        <w: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44AD8678"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titled </w:t>
      </w:r>
      <w:r w:rsidR="003C0BE1" w:rsidRPr="00DA10BE">
        <w:rPr>
          <w:rFonts w:cs="Arial"/>
          <w:b/>
          <w:color w:val="FF4E00" w:themeColor="accent1"/>
          <w:szCs w:val="20"/>
        </w:rPr>
        <w:t>Evaluation – Navigating Therapeutic Uncertainties – On Demand</w:t>
      </w:r>
    </w:p>
    <w:p w14:paraId="2F364C6A" w14:textId="60D4E1B5"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r w:rsidR="007B5048">
        <w:rPr>
          <w:rFonts w:cs="Arial"/>
          <w:color w:val="595959" w:themeColor="text1" w:themeTint="A6"/>
          <w:szCs w:val="20"/>
        </w:rPr>
        <w:t>.</w:t>
      </w:r>
    </w:p>
    <w:p w14:paraId="0DFBBCF5" w14:textId="77777777" w:rsidR="008C43EA" w:rsidRDefault="008C43EA" w:rsidP="00674CC9">
      <w:pPr>
        <w:rPr>
          <w:rFonts w:cs="Arial"/>
          <w:color w:val="595959" w:themeColor="text1" w:themeTint="A6"/>
          <w:szCs w:val="20"/>
        </w:rPr>
      </w:pPr>
    </w:p>
    <w:p w14:paraId="11367948" w14:textId="00F68FEA" w:rsidR="00674CC9" w:rsidRPr="007275A6" w:rsidRDefault="00674CC9" w:rsidP="00674CC9">
      <w:pPr>
        <w:rPr>
          <w:rFonts w:cs="Arial"/>
          <w:color w:val="595959" w:themeColor="text1" w:themeTint="A6"/>
          <w:szCs w:val="20"/>
        </w:rPr>
      </w:pPr>
      <w:r w:rsidRPr="007275A6">
        <w:rPr>
          <w:rFonts w:cs="Arial"/>
          <w:color w:val="595959" w:themeColor="text1" w:themeTint="A6"/>
          <w:szCs w:val="20"/>
        </w:rPr>
        <w:t>CREDIT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71D77B05" w14:textId="736DF401"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Under course progress, choose “Credit” and select “Start”</w:t>
      </w:r>
      <w:r w:rsidR="007B5048">
        <w:rPr>
          <w:rFonts w:cs="Arial"/>
          <w:color w:val="595959" w:themeColor="text1" w:themeTint="A6"/>
          <w:szCs w:val="20"/>
        </w:rPr>
        <w:t>.</w:t>
      </w:r>
    </w:p>
    <w:p w14:paraId="70C06E7D" w14:textId="675495B0" w:rsidR="00BE7AE0" w:rsidRPr="00486B22" w:rsidRDefault="00674CC9" w:rsidP="0090211C">
      <w:pPr>
        <w:pStyle w:val="ListParagraph"/>
        <w:numPr>
          <w:ilvl w:val="0"/>
          <w:numId w:val="8"/>
        </w:numPr>
        <w:ind w:left="720" w:hanging="360"/>
        <w:rPr>
          <w:rFonts w:cs="Arial"/>
          <w:b/>
          <w:color w:val="595959" w:themeColor="text1" w:themeTint="A6"/>
          <w:szCs w:val="20"/>
        </w:rPr>
      </w:pPr>
      <w:r w:rsidRPr="00D76A99">
        <w:rPr>
          <w:rFonts w:cs="Arial"/>
          <w:color w:val="595959" w:themeColor="text1" w:themeTint="A6"/>
          <w:szCs w:val="20"/>
        </w:rPr>
        <w:t>Claim your type of credit –</w:t>
      </w:r>
      <w:r w:rsidR="00D76A99" w:rsidRPr="00924A66">
        <w:rPr>
          <w:rFonts w:cs="Arial"/>
          <w:b/>
          <w:color w:val="FF4E00" w:themeColor="accent1"/>
          <w:szCs w:val="20"/>
        </w:rPr>
        <w:t>ACPE Pharmacist</w:t>
      </w:r>
    </w:p>
    <w:p w14:paraId="374B7BF9" w14:textId="18118608"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 xml:space="preserve">In the credits field, enter the amount of credit </w:t>
      </w:r>
      <w:r w:rsidR="007B5048">
        <w:rPr>
          <w:rFonts w:cs="Arial"/>
          <w:color w:val="595959" w:themeColor="text1" w:themeTint="A6"/>
          <w:szCs w:val="20"/>
        </w:rPr>
        <w:t>that you are claiming</w:t>
      </w:r>
      <w:r w:rsidRPr="007275A6">
        <w:rPr>
          <w:rFonts w:cs="Arial"/>
          <w:color w:val="595959" w:themeColor="text1" w:themeTint="A6"/>
          <w:szCs w:val="20"/>
        </w:rPr>
        <w:t xml:space="preserve">.  </w:t>
      </w:r>
    </w:p>
    <w:p w14:paraId="65DFDF4A" w14:textId="38DB7E54"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Click the box “I agree that I am only claiming credit commensurate with the extent of my participation in the activity”</w:t>
      </w:r>
      <w:r w:rsidR="007B5048">
        <w:rPr>
          <w:rFonts w:cs="Arial"/>
          <w:color w:val="595959" w:themeColor="text1" w:themeTint="A6"/>
          <w:szCs w:val="20"/>
        </w:rPr>
        <w:t>.</w:t>
      </w:r>
    </w:p>
    <w:p w14:paraId="5885FFEF" w14:textId="578A3049" w:rsidR="00674CC9" w:rsidRPr="007275A6" w:rsidRDefault="00674CC9" w:rsidP="0090211C">
      <w:pPr>
        <w:pStyle w:val="ListParagraph"/>
        <w:numPr>
          <w:ilvl w:val="0"/>
          <w:numId w:val="8"/>
        </w:numPr>
        <w:ind w:left="720" w:hanging="360"/>
        <w:rPr>
          <w:rFonts w:cs="Arial"/>
          <w:color w:val="595959" w:themeColor="text1" w:themeTint="A6"/>
          <w:szCs w:val="20"/>
        </w:rPr>
      </w:pPr>
      <w:r w:rsidRPr="007275A6">
        <w:rPr>
          <w:rFonts w:cs="Arial"/>
          <w:color w:val="595959" w:themeColor="text1" w:themeTint="A6"/>
          <w:szCs w:val="20"/>
        </w:rPr>
        <w:t>Review your credit amount and click “Submit”</w:t>
      </w:r>
      <w:r w:rsidR="007B5048">
        <w:rPr>
          <w:rFonts w:cs="Arial"/>
          <w:color w:val="595959" w:themeColor="text1" w:themeTint="A6"/>
          <w:szCs w:val="20"/>
        </w:rPr>
        <w:t>.</w:t>
      </w:r>
    </w:p>
    <w:p w14:paraId="104C95C1" w14:textId="77777777" w:rsidR="0090211C" w:rsidRDefault="0090211C" w:rsidP="0090211C">
      <w:pPr>
        <w:rPr>
          <w:rFonts w:ascii="Segoe UI" w:hAnsi="Segoe UI" w:cs="Segoe UI"/>
          <w:color w:val="242424"/>
          <w:szCs w:val="20"/>
          <w:shd w:val="clear" w:color="auto" w:fill="FFFFFF"/>
        </w:rPr>
      </w:pPr>
    </w:p>
    <w:p w14:paraId="6519D27F" w14:textId="2C7C092E" w:rsidR="0090211C" w:rsidRPr="00D076B9" w:rsidRDefault="0090211C" w:rsidP="0090211C">
      <w:pPr>
        <w:rPr>
          <w:rFonts w:cs="Arial"/>
          <w:color w:val="595959" w:themeColor="text1" w:themeTint="A6"/>
          <w:szCs w:val="20"/>
        </w:rPr>
      </w:pPr>
      <w:r w:rsidRPr="00742A66">
        <w:rPr>
          <w:rFonts w:cs="Arial"/>
          <w:color w:val="595959" w:themeColor="text1" w:themeTint="A6"/>
          <w:szCs w:val="20"/>
        </w:rPr>
        <w:t>CERTIFICATES FOR PHARMACISTS:</w:t>
      </w:r>
      <w:r w:rsidRPr="00D076B9">
        <w:rPr>
          <w:rFonts w:cs="Arial"/>
          <w:color w:val="595959" w:themeColor="text1" w:themeTint="A6"/>
          <w:szCs w:val="20"/>
        </w:rPr>
        <w:t xml:space="preserve"> </w:t>
      </w:r>
    </w:p>
    <w:p w14:paraId="2AAD339F"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CPE Monitor prohibits claiming both pharmacist and pharmacy technician CE credit.</w:t>
      </w:r>
    </w:p>
    <w:p w14:paraId="51A21A4D"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38" w:history="1">
        <w:r w:rsidRPr="00D076B9">
          <w:rPr>
            <w:rStyle w:val="Hyperlink"/>
            <w:rFonts w:cs="Arial"/>
            <w:color w:val="595959" w:themeColor="text1" w:themeTint="A6"/>
            <w:szCs w:val="20"/>
          </w:rPr>
          <w:t>www.mycpemonitor.net</w:t>
        </w:r>
      </w:hyperlink>
      <w:r w:rsidRPr="00D076B9">
        <w:rPr>
          <w:rFonts w:cs="Arial"/>
          <w:color w:val="595959" w:themeColor="text1" w:themeTint="A6"/>
          <w:szCs w:val="20"/>
        </w:rPr>
        <w:t xml:space="preserve"> or </w:t>
      </w:r>
      <w:hyperlink r:id="rId39" w:history="1">
        <w:r w:rsidRPr="00D076B9">
          <w:rPr>
            <w:rStyle w:val="Hyperlink"/>
            <w:rFonts w:cs="Arial"/>
            <w:color w:val="595959" w:themeColor="text1" w:themeTint="A6"/>
            <w:szCs w:val="20"/>
          </w:rPr>
          <w:t>www.nabp.net</w:t>
        </w:r>
      </w:hyperlink>
      <w:r w:rsidRPr="00D076B9">
        <w:rPr>
          <w:rFonts w:cs="Arial"/>
          <w:color w:val="595959" w:themeColor="text1" w:themeTint="A6"/>
          <w:szCs w:val="20"/>
        </w:rPr>
        <w:t>.</w:t>
      </w:r>
    </w:p>
    <w:p w14:paraId="52D7D702"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It is advisable to monitor the status of your Vizient credit submissions to CPE Monitor by viewing the Reported Credit tab in your user profile. Credit should be posted to your transcript within 24 hours after completing the CE process.</w:t>
      </w:r>
    </w:p>
    <w:p w14:paraId="0D8E0E7D" w14:textId="77777777" w:rsidR="009733BD" w:rsidRDefault="009733BD" w:rsidP="009733BD">
      <w:pPr>
        <w:rPr>
          <w:rFonts w:cs="Arial"/>
          <w:i/>
          <w:iCs/>
          <w:color w:val="595959" w:themeColor="text1" w:themeTint="A6"/>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033F2D8E"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r w:rsidR="007B5048">
        <w:rPr>
          <w:rFonts w:cs="Arial"/>
          <w:color w:val="595959" w:themeColor="text1" w:themeTint="A6"/>
          <w:szCs w:val="20"/>
        </w:rPr>
        <w:t>.</w:t>
      </w:r>
    </w:p>
    <w:p w14:paraId="3B9E5D0C" w14:textId="29C3587C"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r w:rsidR="007B5048">
        <w:rPr>
          <w:rFonts w:cs="Arial"/>
          <w:color w:val="595959" w:themeColor="text1" w:themeTint="A6"/>
          <w:szCs w:val="20"/>
        </w:rPr>
        <w:t>.</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40" w:history="1">
        <w:r w:rsidRPr="00D531EB">
          <w:rPr>
            <w:rStyle w:val="Hyperlink"/>
            <w:rFonts w:cs="Arial"/>
            <w:color w:val="00817F" w:themeColor="accent4" w:themeShade="BF"/>
            <w:szCs w:val="20"/>
          </w:rPr>
          <w:t>continuingeducation@vizientinc.com</w:t>
        </w:r>
      </w:hyperlink>
      <w:r w:rsidRPr="0078645D">
        <w:rPr>
          <w:rFonts w:cs="Arial"/>
          <w:color w:val="7F7F7F" w:themeColor="text1" w:themeTint="80"/>
          <w:szCs w:val="20"/>
        </w:rPr>
        <w:t>.</w:t>
      </w:r>
    </w:p>
    <w:bookmarkEnd w:id="0"/>
    <w:p w14:paraId="3C7688B8" w14:textId="77777777" w:rsidR="0078645D" w:rsidRPr="00674CC9" w:rsidRDefault="0078645D" w:rsidP="00674CC9"/>
    <w:p w14:paraId="596830D7" w14:textId="77777777" w:rsidR="00486B22" w:rsidRDefault="00486B22" w:rsidP="00486B22">
      <w:pPr>
        <w:spacing w:after="120"/>
        <w:rPr>
          <w:rFonts w:cs="Arial"/>
          <w:b/>
          <w:color w:val="01ADAB"/>
          <w:sz w:val="24"/>
        </w:rPr>
      </w:pPr>
      <w:r>
        <w:rPr>
          <w:rFonts w:cs="Arial"/>
          <w:b/>
          <w:color w:val="01ADAB"/>
          <w:sz w:val="24"/>
        </w:rPr>
        <w:t>Pharmacists learning objectives</w:t>
      </w:r>
    </w:p>
    <w:p w14:paraId="591F01AF" w14:textId="77777777" w:rsidR="00F64DE8" w:rsidRPr="00F64DE8" w:rsidRDefault="00F64DE8" w:rsidP="00F64DE8">
      <w:pPr>
        <w:rPr>
          <w:rFonts w:eastAsia="Calibri" w:cs="Arial"/>
          <w:i/>
          <w:color w:val="595959" w:themeColor="text1" w:themeTint="A6"/>
          <w:szCs w:val="20"/>
        </w:rPr>
      </w:pPr>
      <w:r w:rsidRPr="00F64DE8">
        <w:rPr>
          <w:rFonts w:eastAsia="Calibri" w:cs="Arial"/>
          <w:color w:val="595959" w:themeColor="text1" w:themeTint="A6"/>
          <w:szCs w:val="20"/>
        </w:rPr>
        <w:t xml:space="preserve">At the conclusion of this activity, pharmacists should be able to: </w:t>
      </w:r>
    </w:p>
    <w:p w14:paraId="70799B8F" w14:textId="77777777" w:rsidR="00EA35BC" w:rsidRPr="00EA35BC" w:rsidRDefault="00EA35BC" w:rsidP="00EA35BC">
      <w:pPr>
        <w:spacing w:after="120"/>
        <w:rPr>
          <w:rFonts w:eastAsia="Calibri" w:cs="Arial"/>
          <w:color w:val="595959" w:themeColor="text1" w:themeTint="A6"/>
          <w:szCs w:val="20"/>
        </w:rPr>
      </w:pPr>
      <w:r w:rsidRPr="00EA35BC">
        <w:rPr>
          <w:rFonts w:eastAsia="Calibri" w:cs="Arial"/>
          <w:color w:val="595959" w:themeColor="text1" w:themeTint="A6"/>
          <w:szCs w:val="20"/>
        </w:rPr>
        <w:lastRenderedPageBreak/>
        <w:t>1.    Describe the Expert Panel process </w:t>
      </w:r>
    </w:p>
    <w:p w14:paraId="4CCCEA31" w14:textId="77777777" w:rsidR="00EA35BC" w:rsidRPr="00EA35BC" w:rsidRDefault="00EA35BC" w:rsidP="00EA35BC">
      <w:pPr>
        <w:spacing w:after="120"/>
        <w:rPr>
          <w:rFonts w:eastAsia="Calibri" w:cs="Arial"/>
          <w:color w:val="595959" w:themeColor="text1" w:themeTint="A6"/>
          <w:szCs w:val="20"/>
        </w:rPr>
      </w:pPr>
      <w:r w:rsidRPr="00EA35BC">
        <w:rPr>
          <w:rFonts w:eastAsia="Calibri" w:cs="Arial"/>
          <w:color w:val="595959" w:themeColor="text1" w:themeTint="A6"/>
          <w:szCs w:val="20"/>
        </w:rPr>
        <w:t xml:space="preserve">2.    Describe the therapeutic controversies and/or gaps in the literature around the use of </w:t>
      </w:r>
      <w:proofErr w:type="spellStart"/>
      <w:r w:rsidRPr="00EA35BC">
        <w:rPr>
          <w:rFonts w:eastAsia="Calibri" w:cs="Arial"/>
          <w:color w:val="595959" w:themeColor="text1" w:themeTint="A6"/>
          <w:szCs w:val="20"/>
        </w:rPr>
        <w:t>tenecteplase</w:t>
      </w:r>
      <w:proofErr w:type="spellEnd"/>
      <w:r w:rsidRPr="00EA35BC">
        <w:rPr>
          <w:rFonts w:eastAsia="Calibri" w:cs="Arial"/>
          <w:color w:val="595959" w:themeColor="text1" w:themeTint="A6"/>
          <w:szCs w:val="20"/>
        </w:rPr>
        <w:t xml:space="preserve"> vs alteplase in acute ischemic stroke and long-acting bupivacaine products for postsurgical analgesia </w:t>
      </w:r>
    </w:p>
    <w:p w14:paraId="1ADDBBB0" w14:textId="4713BE95" w:rsidR="00EA35BC" w:rsidRDefault="00EA35BC" w:rsidP="00EA35BC">
      <w:pPr>
        <w:spacing w:after="120"/>
        <w:rPr>
          <w:rFonts w:eastAsia="Calibri" w:cs="Arial"/>
          <w:color w:val="595959" w:themeColor="text1" w:themeTint="A6"/>
          <w:szCs w:val="20"/>
        </w:rPr>
      </w:pPr>
      <w:r w:rsidRPr="00EA35BC">
        <w:rPr>
          <w:rFonts w:eastAsia="Calibri" w:cs="Arial"/>
          <w:color w:val="595959" w:themeColor="text1" w:themeTint="A6"/>
          <w:szCs w:val="20"/>
        </w:rPr>
        <w:t xml:space="preserve">3.    Discuss the results of the Expert Panels for </w:t>
      </w:r>
      <w:proofErr w:type="spellStart"/>
      <w:r w:rsidRPr="00EA35BC">
        <w:rPr>
          <w:rFonts w:eastAsia="Calibri" w:cs="Arial"/>
          <w:color w:val="595959" w:themeColor="text1" w:themeTint="A6"/>
          <w:szCs w:val="20"/>
        </w:rPr>
        <w:t>tenecteplase</w:t>
      </w:r>
      <w:proofErr w:type="spellEnd"/>
      <w:r w:rsidRPr="00EA35BC">
        <w:rPr>
          <w:rFonts w:eastAsia="Calibri" w:cs="Arial"/>
          <w:color w:val="595959" w:themeColor="text1" w:themeTint="A6"/>
          <w:szCs w:val="20"/>
        </w:rPr>
        <w:t xml:space="preserve"> vs alteplase in acute ischemic stroke and long-acting bupivacaine products for postsurgical analgesia</w:t>
      </w:r>
      <w:r>
        <w:rPr>
          <w:rFonts w:eastAsia="Calibri" w:cs="Arial"/>
          <w:color w:val="595959" w:themeColor="text1" w:themeTint="A6"/>
          <w:szCs w:val="20"/>
        </w:rPr>
        <w:t>.</w:t>
      </w:r>
    </w:p>
    <w:p w14:paraId="4A08F9E0" w14:textId="5566EEE6" w:rsidR="00E34626" w:rsidRDefault="00E34626" w:rsidP="009645E5">
      <w:pPr>
        <w:rPr>
          <w:highlight w:val="yellow"/>
        </w:rPr>
      </w:pPr>
      <w:bookmarkStart w:id="2" w:name="_Hlk109741570"/>
      <w:bookmarkStart w:id="3" w:name="_Hlk109736363"/>
    </w:p>
    <w:p w14:paraId="21CA60B2" w14:textId="77777777" w:rsidR="001E35B7" w:rsidRDefault="001E35B7" w:rsidP="001E35B7">
      <w:pPr>
        <w:spacing w:after="160" w:line="252" w:lineRule="auto"/>
        <w:rPr>
          <w:highlight w:val="yellow"/>
        </w:rPr>
      </w:pPr>
      <w:bookmarkStart w:id="4" w:name="_Hlk109828052"/>
      <w:r>
        <w:rPr>
          <w:rFonts w:eastAsia="Calibri" w:cs="Arial"/>
          <w:b/>
          <w:bCs/>
          <w:color w:val="01ADAB"/>
          <w:sz w:val="28"/>
          <w:szCs w:val="28"/>
        </w:rPr>
        <w:t>Joint Accreditation Statement:</w:t>
      </w:r>
    </w:p>
    <w:bookmarkEnd w:id="4"/>
    <w:p w14:paraId="6BEC600F" w14:textId="7C17E117" w:rsidR="001E35B7" w:rsidRDefault="001E35B7" w:rsidP="001E35B7">
      <w:pPr>
        <w:rPr>
          <w:highlight w:val="yellow"/>
        </w:rPr>
      </w:pPr>
      <w:r>
        <w:rPr>
          <w:noProof/>
        </w:rPr>
        <w:drawing>
          <wp:anchor distT="0" distB="0" distL="114300" distR="114300" simplePos="0" relativeHeight="251663360"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Default="001E35B7" w:rsidP="001E35B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Default="001E35B7" w:rsidP="001E35B7">
      <w:pPr>
        <w:rPr>
          <w:rFonts w:cs="Arial"/>
          <w:color w:val="595959" w:themeColor="text1" w:themeTint="A6"/>
          <w:szCs w:val="20"/>
        </w:rPr>
      </w:pPr>
    </w:p>
    <w:p w14:paraId="0E9012AF" w14:textId="77777777" w:rsidR="001E35B7" w:rsidRDefault="001E35B7" w:rsidP="001E35B7">
      <w:pPr>
        <w:rPr>
          <w:rFonts w:cs="Arial"/>
          <w:color w:val="595959" w:themeColor="text1" w:themeTint="A6"/>
          <w:szCs w:val="20"/>
        </w:rPr>
      </w:pPr>
      <w:bookmarkStart w:id="5" w:name="_Hlk93483030"/>
    </w:p>
    <w:bookmarkEnd w:id="5"/>
    <w:p w14:paraId="2126928B" w14:textId="77777777" w:rsidR="001E35B7" w:rsidRDefault="001E35B7" w:rsidP="001E35B7">
      <w:pPr>
        <w:rPr>
          <w:rFonts w:cs="Arial"/>
          <w:b/>
          <w:color w:val="595959" w:themeColor="text1" w:themeTint="A6"/>
          <w:szCs w:val="20"/>
          <w:u w:val="single"/>
        </w:rPr>
      </w:pPr>
    </w:p>
    <w:p w14:paraId="5FD09C4F" w14:textId="44B21C2E" w:rsidR="001E35B7" w:rsidRDefault="001E35B7" w:rsidP="001E35B7">
      <w:pPr>
        <w:spacing w:after="160" w:line="252" w:lineRule="auto"/>
        <w:rPr>
          <w:highlight w:val="yellow"/>
        </w:rPr>
      </w:pPr>
      <w:r>
        <w:rPr>
          <w:rFonts w:eastAsia="Calibri" w:cs="Arial"/>
          <w:b/>
          <w:bCs/>
          <w:color w:val="01ADAB"/>
          <w:sz w:val="28"/>
          <w:szCs w:val="28"/>
        </w:rPr>
        <w:t>Designation Statement(s):</w:t>
      </w:r>
    </w:p>
    <w:p w14:paraId="522737FB" w14:textId="77777777" w:rsidR="00B5016C" w:rsidRPr="00145C63" w:rsidRDefault="00B5016C" w:rsidP="00B5016C">
      <w:pPr>
        <w:rPr>
          <w:rFonts w:cs="Arial"/>
          <w:color w:val="595959" w:themeColor="text1" w:themeTint="A6"/>
          <w:szCs w:val="20"/>
        </w:rPr>
      </w:pPr>
    </w:p>
    <w:p w14:paraId="459B76D1" w14:textId="77777777" w:rsidR="00B5016C" w:rsidRPr="00145C63" w:rsidRDefault="00B5016C" w:rsidP="00B5016C">
      <w:pPr>
        <w:pStyle w:val="Heading4"/>
        <w:rPr>
          <w:rFonts w:cs="Arial"/>
          <w:color w:val="595959" w:themeColor="text1" w:themeTint="A6"/>
        </w:rPr>
      </w:pPr>
      <w:r w:rsidRPr="00145C63">
        <w:rPr>
          <w:rFonts w:cs="Arial"/>
          <w:color w:val="595959" w:themeColor="text1" w:themeTint="A6"/>
        </w:rPr>
        <w:t>PHARMACY</w:t>
      </w:r>
    </w:p>
    <w:p w14:paraId="782A1992" w14:textId="77C35C2A" w:rsidR="00B5016C" w:rsidRDefault="00B5016C" w:rsidP="00B5016C">
      <w:pPr>
        <w:rPr>
          <w:rFonts w:cs="Arial"/>
          <w:color w:val="595959" w:themeColor="text1" w:themeTint="A6"/>
        </w:rPr>
      </w:pPr>
      <w:r w:rsidRPr="00EA35BC">
        <w:rPr>
          <w:rFonts w:cs="Arial"/>
          <w:color w:val="595959" w:themeColor="text1" w:themeTint="A6"/>
        </w:rPr>
        <w:t>Vizient, Inc. designates this activity for a maximum of 1.00 ACPE</w:t>
      </w:r>
      <w:r w:rsidRPr="00145C63">
        <w:rPr>
          <w:rFonts w:cs="Arial"/>
          <w:color w:val="595959" w:themeColor="text1" w:themeTint="A6"/>
        </w:rPr>
        <w:t xml:space="preserve"> credit hours. </w:t>
      </w:r>
    </w:p>
    <w:p w14:paraId="1CB3BEF5" w14:textId="36B16EAF" w:rsidR="005B2130" w:rsidRDefault="005B2130" w:rsidP="00B5016C">
      <w:pPr>
        <w:rPr>
          <w:rFonts w:cs="Arial"/>
          <w:color w:val="595959" w:themeColor="text1" w:themeTint="A6"/>
        </w:rPr>
      </w:pPr>
    </w:p>
    <w:p w14:paraId="4FEFF375" w14:textId="10F679E4" w:rsidR="005B2130" w:rsidRPr="00145C63" w:rsidRDefault="005B2130" w:rsidP="00B5016C">
      <w:pPr>
        <w:rPr>
          <w:rFonts w:cs="Arial"/>
          <w:color w:val="595959" w:themeColor="text1" w:themeTint="A6"/>
        </w:rPr>
      </w:pPr>
      <w:r w:rsidRPr="005B2130">
        <w:rPr>
          <w:rFonts w:cs="Arial"/>
          <w:color w:val="595959" w:themeColor="text1" w:themeTint="A6"/>
        </w:rPr>
        <w:t>UAN JA0006103-0000-22-137-H01-P</w:t>
      </w:r>
    </w:p>
    <w:p w14:paraId="7B158715" w14:textId="77777777" w:rsidR="00B5016C" w:rsidRDefault="00B5016C" w:rsidP="00B5016C">
      <w:pPr>
        <w:rPr>
          <w:rFonts w:cs="Arial"/>
          <w:color w:val="595959" w:themeColor="text1" w:themeTint="A6"/>
        </w:rPr>
      </w:pPr>
    </w:p>
    <w:p w14:paraId="3FF340B5" w14:textId="77777777" w:rsidR="00AD72A1" w:rsidRDefault="00AD72A1" w:rsidP="00AD72A1">
      <w:pPr>
        <w:spacing w:after="160" w:line="252" w:lineRule="auto"/>
        <w:rPr>
          <w:rFonts w:eastAsia="Calibri" w:cs="Arial"/>
          <w:b/>
          <w:bCs/>
          <w:color w:val="01ADAB"/>
          <w:sz w:val="28"/>
          <w:szCs w:val="28"/>
        </w:rPr>
      </w:pPr>
      <w:bookmarkStart w:id="6" w:name="_Hlk109828428"/>
      <w:bookmarkStart w:id="7" w:name="_Hlk109740545"/>
      <w:bookmarkEnd w:id="2"/>
      <w:r>
        <w:rPr>
          <w:rFonts w:eastAsia="Calibri" w:cs="Arial"/>
          <w:b/>
          <w:bCs/>
          <w:color w:val="01ADAB"/>
          <w:sz w:val="28"/>
          <w:szCs w:val="28"/>
        </w:rPr>
        <w:t xml:space="preserve">Identification, Mitigation, and Disclosure of Relevant Financial Relationships </w:t>
      </w:r>
    </w:p>
    <w:p w14:paraId="72063E89"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49A055A" w14:textId="77777777" w:rsidR="00AD72A1" w:rsidRDefault="00AD72A1" w:rsidP="00AD72A1">
      <w:pPr>
        <w:rPr>
          <w:rFonts w:eastAsia="Calibri" w:cs="Arial"/>
          <w:bCs/>
          <w:color w:val="696969" w:themeColor="accent6"/>
          <w:szCs w:val="20"/>
        </w:rPr>
      </w:pPr>
    </w:p>
    <w:p w14:paraId="53CC4A00" w14:textId="77777777" w:rsidR="00AD72A1" w:rsidRDefault="00AD72A1" w:rsidP="00AD72A1">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5F3FC906" w14:textId="77777777" w:rsidR="00AD72A1" w:rsidRDefault="00AD72A1" w:rsidP="00AD72A1">
      <w:pPr>
        <w:spacing w:after="160" w:line="252" w:lineRule="auto"/>
        <w:rPr>
          <w:rFonts w:cs="Arial"/>
          <w:b/>
          <w:bCs/>
          <w:color w:val="01ADAB" w:themeColor="accent4"/>
          <w:sz w:val="24"/>
          <w:szCs w:val="28"/>
        </w:rPr>
      </w:pPr>
    </w:p>
    <w:p w14:paraId="2D0FE204" w14:textId="4ED3F603" w:rsidR="00AD72A1" w:rsidRDefault="00AD72A1" w:rsidP="00AD72A1">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55E9070" w14:textId="77777777" w:rsidR="00AD72A1" w:rsidRDefault="00AD72A1" w:rsidP="00AD72A1">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27D8027D"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24E43B2C" w14:textId="77777777" w:rsidR="00AD72A1" w:rsidRDefault="00AD72A1" w:rsidP="00AD72A1">
      <w:pPr>
        <w:rPr>
          <w:rFonts w:eastAsia="Calibri" w:cs="Arial"/>
          <w:bCs/>
          <w:color w:val="696969" w:themeColor="accent6"/>
          <w:szCs w:val="20"/>
        </w:rPr>
      </w:pPr>
    </w:p>
    <w:p w14:paraId="62BEBE94"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4AA22B6D" w14:textId="77777777" w:rsidR="00AD72A1" w:rsidRDefault="00AD72A1" w:rsidP="00AD72A1">
      <w:pPr>
        <w:rPr>
          <w:rFonts w:eastAsia="Calibri" w:cs="Arial"/>
          <w:bCs/>
          <w:color w:val="696969" w:themeColor="accent6"/>
          <w:szCs w:val="20"/>
        </w:rPr>
      </w:pPr>
    </w:p>
    <w:p w14:paraId="4A68D182"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323A4B0F" w14:textId="77777777" w:rsidR="00AD72A1" w:rsidRDefault="00AD72A1" w:rsidP="00AD72A1">
      <w:pPr>
        <w:spacing w:after="160" w:line="252" w:lineRule="auto"/>
        <w:rPr>
          <w:rFonts w:eastAsia="Calibri" w:cs="Arial"/>
          <w:b/>
          <w:bCs/>
          <w:color w:val="040404"/>
          <w:sz w:val="24"/>
          <w:shd w:val="clear" w:color="auto" w:fill="FFFFFF"/>
        </w:rPr>
      </w:pPr>
    </w:p>
    <w:p w14:paraId="1853F3EF" w14:textId="77777777" w:rsidR="00AD72A1" w:rsidRPr="00AD72A1" w:rsidRDefault="00AD72A1" w:rsidP="00AD72A1">
      <w:pPr>
        <w:pStyle w:val="Heading3"/>
        <w:spacing w:before="0"/>
        <w:rPr>
          <w:sz w:val="24"/>
          <w:szCs w:val="24"/>
        </w:rPr>
      </w:pPr>
      <w:r w:rsidRPr="00AD72A1">
        <w:rPr>
          <w:sz w:val="24"/>
          <w:szCs w:val="24"/>
        </w:rPr>
        <w:t>Faculty</w:t>
      </w:r>
    </w:p>
    <w:p w14:paraId="30ED7220" w14:textId="77777777" w:rsidR="00926CC5" w:rsidRPr="00926CC5" w:rsidRDefault="00926CC5" w:rsidP="00926CC5">
      <w:pPr>
        <w:pStyle w:val="NormalWeb"/>
        <w:rPr>
          <w:rFonts w:ascii="Arial" w:eastAsia="Calibri" w:hAnsi="Arial" w:cs="Arial"/>
          <w:bCs/>
          <w:color w:val="696969" w:themeColor="accent6"/>
          <w:sz w:val="20"/>
          <w:szCs w:val="20"/>
        </w:rPr>
      </w:pPr>
      <w:r w:rsidRPr="00926CC5">
        <w:rPr>
          <w:rFonts w:ascii="Arial" w:eastAsia="Calibri" w:hAnsi="Arial" w:cs="Arial"/>
          <w:bCs/>
          <w:color w:val="696969" w:themeColor="accent6"/>
          <w:sz w:val="20"/>
          <w:szCs w:val="20"/>
        </w:rPr>
        <w:t>John Schoen, PharmD, BCPS</w:t>
      </w:r>
      <w:r w:rsidRPr="00926CC5">
        <w:rPr>
          <w:rFonts w:ascii="Arial" w:eastAsia="Calibri" w:hAnsi="Arial" w:cs="Arial"/>
          <w:bCs/>
          <w:color w:val="696969" w:themeColor="accent6"/>
          <w:sz w:val="20"/>
          <w:szCs w:val="20"/>
        </w:rPr>
        <w:br/>
        <w:t>Sr Clinical Manger, Drug Information</w:t>
      </w:r>
      <w:r w:rsidRPr="00926CC5">
        <w:rPr>
          <w:rFonts w:ascii="Arial" w:eastAsia="Calibri" w:hAnsi="Arial" w:cs="Arial"/>
          <w:bCs/>
          <w:color w:val="696969" w:themeColor="accent6"/>
          <w:sz w:val="20"/>
          <w:szCs w:val="20"/>
        </w:rPr>
        <w:br/>
        <w:t>Vizient</w:t>
      </w:r>
    </w:p>
    <w:p w14:paraId="204005CD" w14:textId="77777777" w:rsidR="00926CC5" w:rsidRPr="00926CC5" w:rsidRDefault="00926CC5" w:rsidP="00926CC5">
      <w:pPr>
        <w:pStyle w:val="NormalWeb"/>
        <w:rPr>
          <w:rFonts w:ascii="Arial" w:eastAsia="Calibri" w:hAnsi="Arial" w:cs="Arial"/>
          <w:bCs/>
          <w:color w:val="696969" w:themeColor="accent6"/>
          <w:sz w:val="20"/>
          <w:szCs w:val="20"/>
        </w:rPr>
      </w:pPr>
      <w:r w:rsidRPr="00926CC5">
        <w:rPr>
          <w:rFonts w:ascii="Arial" w:eastAsia="Calibri" w:hAnsi="Arial" w:cs="Arial"/>
          <w:bCs/>
          <w:color w:val="696969" w:themeColor="accent6"/>
          <w:sz w:val="20"/>
          <w:szCs w:val="20"/>
        </w:rPr>
        <w:t xml:space="preserve">Kyle </w:t>
      </w:r>
      <w:proofErr w:type="spellStart"/>
      <w:r w:rsidRPr="00926CC5">
        <w:rPr>
          <w:rFonts w:ascii="Arial" w:eastAsia="Calibri" w:hAnsi="Arial" w:cs="Arial"/>
          <w:bCs/>
          <w:color w:val="696969" w:themeColor="accent6"/>
          <w:sz w:val="20"/>
          <w:szCs w:val="20"/>
        </w:rPr>
        <w:t>Hoelting</w:t>
      </w:r>
      <w:proofErr w:type="spellEnd"/>
      <w:r w:rsidRPr="00926CC5">
        <w:rPr>
          <w:rFonts w:ascii="Arial" w:eastAsia="Calibri" w:hAnsi="Arial" w:cs="Arial"/>
          <w:bCs/>
          <w:color w:val="696969" w:themeColor="accent6"/>
          <w:sz w:val="20"/>
          <w:szCs w:val="20"/>
        </w:rPr>
        <w:t>, PharmD, BCPS</w:t>
      </w:r>
      <w:r w:rsidRPr="00926CC5">
        <w:rPr>
          <w:rFonts w:ascii="Arial" w:eastAsia="Calibri" w:hAnsi="Arial" w:cs="Arial"/>
          <w:bCs/>
          <w:color w:val="696969" w:themeColor="accent6"/>
          <w:sz w:val="20"/>
          <w:szCs w:val="20"/>
        </w:rPr>
        <w:br/>
        <w:t>Sr Clinical Manger, Drug Information</w:t>
      </w:r>
      <w:r w:rsidRPr="00926CC5">
        <w:rPr>
          <w:rFonts w:ascii="Arial" w:eastAsia="Calibri" w:hAnsi="Arial" w:cs="Arial"/>
          <w:bCs/>
          <w:color w:val="696969" w:themeColor="accent6"/>
          <w:sz w:val="20"/>
          <w:szCs w:val="20"/>
        </w:rPr>
        <w:br/>
        <w:t>Vizient</w:t>
      </w:r>
    </w:p>
    <w:p w14:paraId="12FF9F5C" w14:textId="77777777" w:rsidR="00AD72A1" w:rsidRDefault="00AD72A1" w:rsidP="00AD72A1">
      <w:pPr>
        <w:pStyle w:val="Heading3"/>
        <w:spacing w:before="0"/>
      </w:pPr>
    </w:p>
    <w:p w14:paraId="73914C42" w14:textId="77777777" w:rsidR="00AD72A1" w:rsidRPr="00AD72A1" w:rsidRDefault="00AD72A1" w:rsidP="00AD72A1">
      <w:pPr>
        <w:pStyle w:val="Heading3"/>
        <w:spacing w:before="0"/>
        <w:rPr>
          <w:sz w:val="24"/>
          <w:szCs w:val="24"/>
        </w:rPr>
      </w:pPr>
      <w:r w:rsidRPr="00AD72A1">
        <w:rPr>
          <w:sz w:val="24"/>
          <w:szCs w:val="24"/>
        </w:rPr>
        <w:t>Planning committee</w:t>
      </w:r>
    </w:p>
    <w:p w14:paraId="63B4F085" w14:textId="77777777" w:rsidR="00926CC5" w:rsidRPr="00926CC5" w:rsidRDefault="00926CC5" w:rsidP="00926CC5">
      <w:pPr>
        <w:pStyle w:val="NormalWeb"/>
        <w:rPr>
          <w:rFonts w:ascii="Arial" w:eastAsia="Calibri" w:hAnsi="Arial" w:cs="Arial"/>
          <w:bCs/>
          <w:color w:val="696969" w:themeColor="accent6"/>
          <w:sz w:val="20"/>
          <w:szCs w:val="20"/>
        </w:rPr>
      </w:pPr>
      <w:bookmarkStart w:id="8" w:name="_Hlk109900071"/>
      <w:r w:rsidRPr="00926CC5">
        <w:rPr>
          <w:rFonts w:ascii="Arial" w:eastAsia="Calibri" w:hAnsi="Arial" w:cs="Arial"/>
          <w:bCs/>
          <w:color w:val="696969" w:themeColor="accent6"/>
          <w:sz w:val="20"/>
          <w:szCs w:val="20"/>
        </w:rPr>
        <w:t>Jackie Stokes, BS</w:t>
      </w:r>
      <w:r w:rsidRPr="00926CC5">
        <w:rPr>
          <w:rFonts w:ascii="Arial" w:eastAsia="Calibri" w:hAnsi="Arial" w:cs="Arial"/>
          <w:bCs/>
          <w:color w:val="696969" w:themeColor="accent6"/>
          <w:sz w:val="20"/>
          <w:szCs w:val="20"/>
        </w:rPr>
        <w:br/>
        <w:t>Manager, Pharmacy Program </w:t>
      </w:r>
      <w:r w:rsidRPr="00926CC5">
        <w:rPr>
          <w:rFonts w:ascii="Arial" w:eastAsia="Calibri" w:hAnsi="Arial" w:cs="Arial"/>
          <w:bCs/>
          <w:color w:val="696969" w:themeColor="accent6"/>
          <w:sz w:val="20"/>
          <w:szCs w:val="20"/>
        </w:rPr>
        <w:br/>
        <w:t>Vizient</w:t>
      </w:r>
    </w:p>
    <w:p w14:paraId="2F7C1B00" w14:textId="77777777" w:rsidR="00926CC5" w:rsidRPr="00926CC5" w:rsidRDefault="00926CC5" w:rsidP="00926CC5">
      <w:pPr>
        <w:pStyle w:val="NormalWeb"/>
        <w:rPr>
          <w:rFonts w:ascii="Arial" w:eastAsia="Calibri" w:hAnsi="Arial" w:cs="Arial"/>
          <w:bCs/>
          <w:color w:val="696969" w:themeColor="accent6"/>
          <w:sz w:val="20"/>
          <w:szCs w:val="20"/>
        </w:rPr>
      </w:pPr>
      <w:r w:rsidRPr="00926CC5">
        <w:rPr>
          <w:rFonts w:ascii="Arial" w:eastAsia="Calibri" w:hAnsi="Arial" w:cs="Arial"/>
          <w:bCs/>
          <w:color w:val="696969" w:themeColor="accent6"/>
          <w:sz w:val="20"/>
          <w:szCs w:val="20"/>
        </w:rPr>
        <w:t>Gretchen Brummel, PharmD, BCPS</w:t>
      </w:r>
      <w:r w:rsidRPr="00926CC5">
        <w:rPr>
          <w:rFonts w:ascii="Arial" w:eastAsia="Calibri" w:hAnsi="Arial" w:cs="Arial"/>
          <w:bCs/>
          <w:color w:val="696969" w:themeColor="accent6"/>
          <w:sz w:val="20"/>
          <w:szCs w:val="20"/>
        </w:rPr>
        <w:br/>
        <w:t>Consulting Solutions Director</w:t>
      </w:r>
      <w:r w:rsidRPr="00926CC5">
        <w:rPr>
          <w:rFonts w:ascii="Arial" w:eastAsia="Calibri" w:hAnsi="Arial" w:cs="Arial"/>
          <w:bCs/>
          <w:color w:val="696969" w:themeColor="accent6"/>
          <w:sz w:val="20"/>
          <w:szCs w:val="20"/>
        </w:rPr>
        <w:br/>
        <w:t>Vizient</w:t>
      </w:r>
    </w:p>
    <w:p w14:paraId="0D08C67F" w14:textId="77777777" w:rsidR="00AD72A1" w:rsidRDefault="00AD72A1" w:rsidP="00AD72A1">
      <w:pPr>
        <w:pStyle w:val="Heading3"/>
        <w:spacing w:before="0"/>
        <w:rPr>
          <w:sz w:val="24"/>
          <w:szCs w:val="24"/>
        </w:rPr>
      </w:pPr>
    </w:p>
    <w:p w14:paraId="24B3BC6C" w14:textId="77777777" w:rsidR="00AD72A1" w:rsidRPr="00AD72A1" w:rsidRDefault="00AD72A1" w:rsidP="00AD72A1">
      <w:pPr>
        <w:pStyle w:val="Heading3"/>
        <w:spacing w:before="0" w:after="160" w:line="252" w:lineRule="auto"/>
        <w:rPr>
          <w:sz w:val="24"/>
          <w:szCs w:val="24"/>
        </w:rPr>
      </w:pPr>
      <w:r w:rsidRPr="00AD72A1">
        <w:rPr>
          <w:sz w:val="24"/>
          <w:szCs w:val="24"/>
        </w:rPr>
        <w:t xml:space="preserve">Statement of content validity </w:t>
      </w:r>
    </w:p>
    <w:p w14:paraId="1E503D40"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74A74B4" w14:textId="77777777" w:rsidR="00AD72A1" w:rsidRDefault="00AD72A1" w:rsidP="00AD72A1">
      <w:pPr>
        <w:rPr>
          <w:rFonts w:eastAsia="Calibri" w:cs="Arial"/>
          <w:bCs/>
          <w:color w:val="696969" w:themeColor="accent6"/>
          <w:szCs w:val="20"/>
        </w:rPr>
      </w:pPr>
    </w:p>
    <w:p w14:paraId="4E6BD68F" w14:textId="77777777" w:rsidR="00AD72A1" w:rsidRDefault="00AD72A1" w:rsidP="00AD72A1">
      <w:pPr>
        <w:spacing w:after="160" w:line="252" w:lineRule="auto"/>
        <w:rPr>
          <w:rFonts w:eastAsia="Calibri" w:cs="Arial"/>
          <w:bCs/>
          <w:color w:val="696969" w:themeColor="accent6"/>
          <w:szCs w:val="20"/>
        </w:rPr>
      </w:pPr>
      <w:r>
        <w:rPr>
          <w:rFonts w:eastAsia="Calibri" w:cs="Arial"/>
          <w:b/>
          <w:color w:val="FF4E00"/>
          <w:sz w:val="24"/>
        </w:rPr>
        <w:t>FDA off-label/unapproved usage</w:t>
      </w:r>
    </w:p>
    <w:p w14:paraId="1A131C7F"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71F4B342" w14:textId="0060C3A0" w:rsidR="00A5647A" w:rsidRPr="007A1399" w:rsidRDefault="00AD72A1" w:rsidP="00E94E20">
      <w:pPr>
        <w:spacing w:after="160" w:line="252" w:lineRule="auto"/>
        <w:rPr>
          <w:rFonts w:eastAsia="Calibri" w:cs="Arial"/>
          <w:bCs/>
          <w:color w:val="000000"/>
          <w:sz w:val="24"/>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3"/>
      <w:bookmarkEnd w:id="6"/>
      <w:bookmarkEnd w:id="7"/>
      <w:bookmarkEnd w:id="8"/>
    </w:p>
    <w:sectPr w:rsidR="00A5647A" w:rsidRPr="007A1399"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B5C3" w14:textId="77777777" w:rsidR="00A219B5" w:rsidRDefault="00A219B5" w:rsidP="00971D43">
      <w:r>
        <w:separator/>
      </w:r>
    </w:p>
  </w:endnote>
  <w:endnote w:type="continuationSeparator" w:id="0">
    <w:p w14:paraId="18935A4D" w14:textId="77777777" w:rsidR="00A219B5" w:rsidRDefault="00A219B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6C54" w14:textId="77777777" w:rsidR="00A219B5" w:rsidRDefault="00A219B5" w:rsidP="00971D43">
      <w:r>
        <w:separator/>
      </w:r>
    </w:p>
  </w:footnote>
  <w:footnote w:type="continuationSeparator" w:id="0">
    <w:p w14:paraId="3CE26F3C" w14:textId="77777777" w:rsidR="00A219B5" w:rsidRDefault="00A219B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9"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8"/>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11"/>
  </w:num>
  <w:num w:numId="8">
    <w:abstractNumId w:val="0"/>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17"/>
  </w:num>
  <w:num w:numId="14">
    <w:abstractNumId w:val="22"/>
  </w:num>
  <w:num w:numId="15">
    <w:abstractNumId w:val="12"/>
  </w:num>
  <w:num w:numId="16">
    <w:abstractNumId w:val="23"/>
  </w:num>
  <w:num w:numId="17">
    <w:abstractNumId w:val="7"/>
  </w:num>
  <w:num w:numId="18">
    <w:abstractNumId w:val="16"/>
  </w:num>
  <w:num w:numId="19">
    <w:abstractNumId w:val="0"/>
  </w:num>
  <w:num w:numId="20">
    <w:abstractNumId w:val="0"/>
  </w:num>
  <w:num w:numId="21">
    <w:abstractNumId w:val="6"/>
  </w:num>
  <w:num w:numId="22">
    <w:abstractNumId w:val="14"/>
  </w:num>
  <w:num w:numId="23">
    <w:abstractNumId w:val="10"/>
  </w:num>
  <w:num w:numId="24">
    <w:abstractNumId w:val="5"/>
  </w:num>
  <w:num w:numId="25">
    <w:abstractNumId w:val="9"/>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95B16"/>
    <w:rsid w:val="000970CD"/>
    <w:rsid w:val="000E76BF"/>
    <w:rsid w:val="000F1401"/>
    <w:rsid w:val="000F2A5C"/>
    <w:rsid w:val="00104CA4"/>
    <w:rsid w:val="001171A6"/>
    <w:rsid w:val="00122743"/>
    <w:rsid w:val="001255F0"/>
    <w:rsid w:val="0013039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C7262"/>
    <w:rsid w:val="001D2425"/>
    <w:rsid w:val="001D3415"/>
    <w:rsid w:val="001D56DD"/>
    <w:rsid w:val="001E18F7"/>
    <w:rsid w:val="001E35B7"/>
    <w:rsid w:val="001F2846"/>
    <w:rsid w:val="001F5E4B"/>
    <w:rsid w:val="00200804"/>
    <w:rsid w:val="00200BDE"/>
    <w:rsid w:val="00211BA3"/>
    <w:rsid w:val="00211EFB"/>
    <w:rsid w:val="002210D7"/>
    <w:rsid w:val="00231702"/>
    <w:rsid w:val="00270388"/>
    <w:rsid w:val="00270B4E"/>
    <w:rsid w:val="00272267"/>
    <w:rsid w:val="00273E1B"/>
    <w:rsid w:val="0029361D"/>
    <w:rsid w:val="002B3983"/>
    <w:rsid w:val="002C549F"/>
    <w:rsid w:val="002D0D3A"/>
    <w:rsid w:val="002D2FCE"/>
    <w:rsid w:val="002E26E9"/>
    <w:rsid w:val="002E5346"/>
    <w:rsid w:val="00307785"/>
    <w:rsid w:val="00312693"/>
    <w:rsid w:val="00312ADA"/>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0BE1"/>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1215"/>
    <w:rsid w:val="00463FCD"/>
    <w:rsid w:val="004722C1"/>
    <w:rsid w:val="004747C2"/>
    <w:rsid w:val="004814ED"/>
    <w:rsid w:val="00481874"/>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B2130"/>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4FB0"/>
    <w:rsid w:val="00707853"/>
    <w:rsid w:val="007114D4"/>
    <w:rsid w:val="00714301"/>
    <w:rsid w:val="00715300"/>
    <w:rsid w:val="007158FC"/>
    <w:rsid w:val="00723601"/>
    <w:rsid w:val="007275A6"/>
    <w:rsid w:val="00742A6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D1039"/>
    <w:rsid w:val="008F0EC4"/>
    <w:rsid w:val="008F5404"/>
    <w:rsid w:val="0090211C"/>
    <w:rsid w:val="00913595"/>
    <w:rsid w:val="009225E4"/>
    <w:rsid w:val="00924A66"/>
    <w:rsid w:val="00926CC5"/>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A27BF"/>
    <w:rsid w:val="009A7AAE"/>
    <w:rsid w:val="009A7E1B"/>
    <w:rsid w:val="009A7E9D"/>
    <w:rsid w:val="009B2BA5"/>
    <w:rsid w:val="009B6D1A"/>
    <w:rsid w:val="009B6E1C"/>
    <w:rsid w:val="009D4020"/>
    <w:rsid w:val="009E5A5C"/>
    <w:rsid w:val="009F4A49"/>
    <w:rsid w:val="00A00028"/>
    <w:rsid w:val="00A219B5"/>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6FEB"/>
    <w:rsid w:val="00AB0BC1"/>
    <w:rsid w:val="00AB0C0F"/>
    <w:rsid w:val="00AB7CE1"/>
    <w:rsid w:val="00AC76C2"/>
    <w:rsid w:val="00AD1648"/>
    <w:rsid w:val="00AD6E51"/>
    <w:rsid w:val="00AD72A1"/>
    <w:rsid w:val="00AE086C"/>
    <w:rsid w:val="00AE5182"/>
    <w:rsid w:val="00AE7C2E"/>
    <w:rsid w:val="00AF32FC"/>
    <w:rsid w:val="00AF364E"/>
    <w:rsid w:val="00AF3AF2"/>
    <w:rsid w:val="00AF44C9"/>
    <w:rsid w:val="00B01274"/>
    <w:rsid w:val="00B04281"/>
    <w:rsid w:val="00B17853"/>
    <w:rsid w:val="00B1796A"/>
    <w:rsid w:val="00B213B6"/>
    <w:rsid w:val="00B2754D"/>
    <w:rsid w:val="00B3199E"/>
    <w:rsid w:val="00B46D2A"/>
    <w:rsid w:val="00B5016C"/>
    <w:rsid w:val="00B52641"/>
    <w:rsid w:val="00B640EE"/>
    <w:rsid w:val="00B65EAB"/>
    <w:rsid w:val="00B75EF3"/>
    <w:rsid w:val="00B7767D"/>
    <w:rsid w:val="00B82653"/>
    <w:rsid w:val="00B82EE5"/>
    <w:rsid w:val="00B914EC"/>
    <w:rsid w:val="00B937E2"/>
    <w:rsid w:val="00BA2D73"/>
    <w:rsid w:val="00BA5343"/>
    <w:rsid w:val="00BA6CBF"/>
    <w:rsid w:val="00BB6CB3"/>
    <w:rsid w:val="00BB6D5A"/>
    <w:rsid w:val="00BB6F5C"/>
    <w:rsid w:val="00BB7234"/>
    <w:rsid w:val="00BC037D"/>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F2699"/>
    <w:rsid w:val="00CF5730"/>
    <w:rsid w:val="00D04BFD"/>
    <w:rsid w:val="00D14C65"/>
    <w:rsid w:val="00D2267A"/>
    <w:rsid w:val="00D24C51"/>
    <w:rsid w:val="00D27DFB"/>
    <w:rsid w:val="00D35964"/>
    <w:rsid w:val="00D45CFF"/>
    <w:rsid w:val="00D46507"/>
    <w:rsid w:val="00D531EB"/>
    <w:rsid w:val="00D531EC"/>
    <w:rsid w:val="00D55902"/>
    <w:rsid w:val="00D6051F"/>
    <w:rsid w:val="00D60D0D"/>
    <w:rsid w:val="00D76A99"/>
    <w:rsid w:val="00D83AB6"/>
    <w:rsid w:val="00D970B9"/>
    <w:rsid w:val="00D97E07"/>
    <w:rsid w:val="00DA10BE"/>
    <w:rsid w:val="00DA6BD0"/>
    <w:rsid w:val="00DB507E"/>
    <w:rsid w:val="00DC09A4"/>
    <w:rsid w:val="00DC37B4"/>
    <w:rsid w:val="00DE18AA"/>
    <w:rsid w:val="00DE3426"/>
    <w:rsid w:val="00DF65D5"/>
    <w:rsid w:val="00E07042"/>
    <w:rsid w:val="00E25491"/>
    <w:rsid w:val="00E34626"/>
    <w:rsid w:val="00E413F1"/>
    <w:rsid w:val="00E435CD"/>
    <w:rsid w:val="00E47D10"/>
    <w:rsid w:val="00E50346"/>
    <w:rsid w:val="00E56D1C"/>
    <w:rsid w:val="00E609BA"/>
    <w:rsid w:val="00E63522"/>
    <w:rsid w:val="00E63D33"/>
    <w:rsid w:val="00E6655D"/>
    <w:rsid w:val="00E94CDE"/>
    <w:rsid w:val="00E94E20"/>
    <w:rsid w:val="00EA0EB6"/>
    <w:rsid w:val="00EA13B8"/>
    <w:rsid w:val="00EA35BC"/>
    <w:rsid w:val="00EC0481"/>
    <w:rsid w:val="00ED0769"/>
    <w:rsid w:val="00ED457B"/>
    <w:rsid w:val="00EF51E1"/>
    <w:rsid w:val="00F02911"/>
    <w:rsid w:val="00F06A95"/>
    <w:rsid w:val="00F146F1"/>
    <w:rsid w:val="00F20160"/>
    <w:rsid w:val="00F206F3"/>
    <w:rsid w:val="00F23794"/>
    <w:rsid w:val="00F40406"/>
    <w:rsid w:val="00F4230E"/>
    <w:rsid w:val="00F45D18"/>
    <w:rsid w:val="00F47F98"/>
    <w:rsid w:val="00F577F6"/>
    <w:rsid w:val="00F63FFC"/>
    <w:rsid w:val="00F64DE8"/>
    <w:rsid w:val="00F737E2"/>
    <w:rsid w:val="00F739D0"/>
    <w:rsid w:val="00F748D1"/>
    <w:rsid w:val="00F85FA6"/>
    <w:rsid w:val="00FB393D"/>
    <w:rsid w:val="00FC4202"/>
    <w:rsid w:val="00FD3B8D"/>
    <w:rsid w:val="00FD544F"/>
    <w:rsid w:val="00FD6A22"/>
    <w:rsid w:val="00FE3941"/>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 w:type="paragraph" w:styleId="NormalWeb">
    <w:name w:val="Normal (Web)"/>
    <w:basedOn w:val="Normal"/>
    <w:uiPriority w:val="99"/>
    <w:semiHidden/>
    <w:unhideWhenUsed/>
    <w:rsid w:val="00926CC5"/>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270388"/>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0119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097404585">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nabp.net" TargetMode="External"/><Relationship Id="rId21" Type="http://schemas.openxmlformats.org/officeDocument/2006/relationships/customXml" Target="../customXml/item21.xml"/><Relationship Id="rId34" Type="http://schemas.openxmlformats.org/officeDocument/2006/relationships/hyperlink" Target="https://vizientinc.webex.com/vizientinc/lsr.php?RCID=fe4a808fb0911db8fef061ee04853669" TargetMode="External"/><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mailto:continuingeducation@vizientinc.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navigating-therapeutic-uncertainties-review-recent-vizient-expert-panels-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navigating-therapeutic-uncertainties-review-recent-vizient-expert-panels-demand" TargetMode="External"/><Relationship Id="rId43"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mycpemonitor.net" TargetMode="Externa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AllWordPDs>
</AllWordPDs>
</file>

<file path=customXml/item11.xml><?xml version="1.0" encoding="utf-8"?>
<SourceDataModel Name="Computed" TargetDataSourceId="87651697-ca1f-4d80-9f69-bb743e325714"/>
</file>

<file path=customXml/item12.xml><?xml version="1.0" encoding="utf-8"?>
<SourceDataModel Name="System" TargetDataSourceId="00b80028-d226-4a39-9a19-6787589aad19"/>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UsageMapping/>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AllExternalAdhocVariableMappings/>
</file>

<file path=customXml/item26.xml><?xml version="1.0" encoding="utf-8"?>
<VariableListDefinition name="System" displayName="System" id="dc9731b4-d0d2-4ed5-b20d-434d69de1706" isdomainofvalue="False" dataSourceId="00b80028-d226-4a39-9a19-6787589aad19"/>
</file>

<file path=customXml/item27.xml><?xml version="1.0" encoding="utf-8"?>
<AllMetadata/>
</file>

<file path=customXml/item3.xml><?xml version="1.0" encoding="utf-8"?>
<VariableListDefinition name="Computed" displayName="Computed" id="69155e26-4760-488b-ab4c-bb15b0f8b2a2" isdomainofvalue="False" dataSourceId="87651697-ca1f-4d80-9f69-bb743e325714"/>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DocPartTree/>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217</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9860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32</cp:revision>
  <cp:lastPrinted>2015-12-22T16:01:00Z</cp:lastPrinted>
  <dcterms:created xsi:type="dcterms:W3CDTF">2022-07-26T17:57:00Z</dcterms:created>
  <dcterms:modified xsi:type="dcterms:W3CDTF">2022-10-25T15:41:00Z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