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7A1CF73" w14:textId="77777777" w:rsidR="00BD15EA" w:rsidRDefault="00BD15EA" w:rsidP="004A294A">
      <w:pPr>
        <w:pStyle w:val="BodyText1"/>
        <w:rPr>
          <w:rFonts w:eastAsiaTheme="majorEastAsia" w:cstheme="majorBidi"/>
          <w:b/>
          <w:bCs/>
          <w:color w:val="01ADAB" w:themeColor="accent4"/>
          <w:sz w:val="28"/>
          <w:szCs w:val="28"/>
        </w:rPr>
      </w:pPr>
      <w:r w:rsidRPr="00BD15EA">
        <w:rPr>
          <w:rFonts w:eastAsiaTheme="majorEastAsia" w:cstheme="majorBidi"/>
          <w:b/>
          <w:bCs/>
          <w:color w:val="01ADAB" w:themeColor="accent4"/>
          <w:sz w:val="28"/>
          <w:szCs w:val="28"/>
        </w:rPr>
        <w:t>Back to stewardship basics: Treatment of highly resistant Gram-negative infections</w:t>
      </w:r>
    </w:p>
    <w:p w14:paraId="0D0DC3CD" w14:textId="343EB0A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D15EA">
        <w:rPr>
          <w:color w:val="FF4E00" w:themeColor="accent1"/>
        </w:rPr>
        <w:t>November 18, 2022</w:t>
      </w:r>
    </w:p>
    <w:p w14:paraId="641D3E3A" w14:textId="65E653A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81C69" w:rsidRPr="00281C69">
        <w:rPr>
          <w:color w:val="FF4E00" w:themeColor="accent1"/>
        </w:rPr>
        <w:t>Shannon Smallwood, PharmD, BCPS</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0570E0">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00CD5980" w:rsidR="00927A00" w:rsidRPr="00927A00" w:rsidRDefault="00927A00" w:rsidP="000570E0">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281C69">
        <w:rPr>
          <w:rFonts w:cs="Arial"/>
          <w:color w:val="595959" w:themeColor="text1" w:themeTint="A6"/>
          <w:szCs w:val="20"/>
        </w:rPr>
        <w:t>January 02,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ADFBF9D"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w:t>
      </w:r>
    </w:p>
    <w:bookmarkEnd w:id="0"/>
    <w:bookmarkEnd w:id="1"/>
    <w:p w14:paraId="499319BA" w14:textId="77777777" w:rsidR="008730EB" w:rsidRPr="000211DF" w:rsidRDefault="008730EB" w:rsidP="008730EB">
      <w:pPr>
        <w:rPr>
          <w:rFonts w:cs="Arial"/>
          <w:szCs w:val="20"/>
        </w:rPr>
      </w:pPr>
    </w:p>
    <w:p w14:paraId="2B4ECF29" w14:textId="49C3E58A"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p>
    <w:p w14:paraId="096E2287" w14:textId="7A7B06E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260224">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260224">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0570E0">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0570E0">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7ADCC54" w14:textId="41808F4C" w:rsidR="006B223B" w:rsidRPr="006B223B" w:rsidRDefault="006B223B" w:rsidP="000570E0">
      <w:pPr>
        <w:pStyle w:val="ListParagraph"/>
        <w:numPr>
          <w:ilvl w:val="0"/>
          <w:numId w:val="6"/>
        </w:numPr>
        <w:ind w:left="720"/>
        <w:rPr>
          <w:rFonts w:eastAsia="Calibri" w:cs="Arial"/>
          <w:color w:val="595959" w:themeColor="text1" w:themeTint="A6"/>
          <w:szCs w:val="20"/>
        </w:rPr>
      </w:pPr>
      <w:r w:rsidRPr="006B223B">
        <w:rPr>
          <w:rFonts w:eastAsia="Calibri" w:cs="Arial"/>
          <w:color w:val="595959" w:themeColor="text1" w:themeTint="A6"/>
          <w:szCs w:val="20"/>
        </w:rPr>
        <w:t>Define key recommendations presented in the 2022 IDSA Guidance for the treatment of resistant gram-negative bacterial infections</w:t>
      </w:r>
    </w:p>
    <w:p w14:paraId="6184A408" w14:textId="303DA916" w:rsidR="006B223B" w:rsidRPr="006B223B" w:rsidRDefault="006B223B" w:rsidP="000570E0">
      <w:pPr>
        <w:pStyle w:val="ListParagraph"/>
        <w:numPr>
          <w:ilvl w:val="0"/>
          <w:numId w:val="6"/>
        </w:numPr>
        <w:ind w:left="720"/>
        <w:rPr>
          <w:rFonts w:eastAsia="Calibri" w:cs="Arial"/>
          <w:color w:val="595959" w:themeColor="text1" w:themeTint="A6"/>
          <w:szCs w:val="20"/>
        </w:rPr>
      </w:pPr>
      <w:r w:rsidRPr="006B223B">
        <w:rPr>
          <w:rFonts w:eastAsia="Calibri" w:cs="Arial"/>
          <w:color w:val="595959" w:themeColor="text1" w:themeTint="A6"/>
          <w:szCs w:val="20"/>
        </w:rPr>
        <w:t>Recognize differences in treatment options for the treatment of resistant gram-negative bacterial infections</w:t>
      </w:r>
    </w:p>
    <w:p w14:paraId="4E475C00" w14:textId="53CC77B8" w:rsidR="00524EB3" w:rsidRPr="006B223B" w:rsidRDefault="006B223B" w:rsidP="000570E0">
      <w:pPr>
        <w:pStyle w:val="ListParagraph"/>
        <w:numPr>
          <w:ilvl w:val="0"/>
          <w:numId w:val="6"/>
        </w:numPr>
        <w:ind w:left="720"/>
        <w:rPr>
          <w:rFonts w:eastAsia="Calibri" w:cs="Arial"/>
          <w:color w:val="595959" w:themeColor="text1" w:themeTint="A6"/>
          <w:szCs w:val="20"/>
        </w:rPr>
      </w:pPr>
      <w:r w:rsidRPr="006B223B">
        <w:rPr>
          <w:rFonts w:eastAsia="Calibri" w:cs="Arial"/>
          <w:color w:val="595959" w:themeColor="text1" w:themeTint="A6"/>
          <w:szCs w:val="20"/>
        </w:rPr>
        <w:t>Select the best treatment option for resistant gram-negative bacterial infections based on patient-specific factors</w:t>
      </w:r>
    </w:p>
    <w:p w14:paraId="684BF2F4" w14:textId="7B664B21" w:rsidR="006B223B" w:rsidRDefault="006B223B" w:rsidP="006B223B">
      <w:pPr>
        <w:rPr>
          <w:rFonts w:eastAsia="Calibri" w:cs="Arial"/>
          <w:color w:val="595959" w:themeColor="text1" w:themeTint="A6"/>
          <w:szCs w:val="20"/>
        </w:rPr>
      </w:pPr>
    </w:p>
    <w:p w14:paraId="1E5D2B80" w14:textId="076F1431" w:rsidR="006B223B" w:rsidRDefault="006B223B" w:rsidP="006B223B">
      <w:pPr>
        <w:rPr>
          <w:rFonts w:eastAsia="Calibri" w:cs="Arial"/>
          <w:color w:val="595959" w:themeColor="text1" w:themeTint="A6"/>
          <w:szCs w:val="20"/>
        </w:rPr>
      </w:pPr>
    </w:p>
    <w:p w14:paraId="4B664E9A" w14:textId="4AF26E29" w:rsidR="006B223B" w:rsidRDefault="006B223B" w:rsidP="006B223B">
      <w:pPr>
        <w:rPr>
          <w:rFonts w:eastAsia="Calibri" w:cs="Arial"/>
          <w:color w:val="595959" w:themeColor="text1" w:themeTint="A6"/>
          <w:szCs w:val="20"/>
        </w:rPr>
      </w:pPr>
    </w:p>
    <w:p w14:paraId="51790657" w14:textId="7ABE82EB" w:rsidR="006B223B" w:rsidRDefault="006B223B" w:rsidP="006B223B">
      <w:pPr>
        <w:rPr>
          <w:rFonts w:eastAsia="Calibri" w:cs="Arial"/>
          <w:color w:val="595959" w:themeColor="text1" w:themeTint="A6"/>
          <w:szCs w:val="20"/>
        </w:rPr>
      </w:pPr>
    </w:p>
    <w:p w14:paraId="79B173E5" w14:textId="77777777" w:rsidR="006B223B" w:rsidRDefault="006B223B" w:rsidP="006B223B">
      <w:pPr>
        <w:rPr>
          <w:highlight w:val="yellow"/>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AC726D" w:rsidRDefault="00C9605F" w:rsidP="00C9605F">
      <w:pPr>
        <w:rPr>
          <w:rFonts w:cs="Arial"/>
          <w:color w:val="595959" w:themeColor="text1" w:themeTint="A6"/>
        </w:rPr>
      </w:pPr>
      <w:r w:rsidRPr="00145C63">
        <w:rPr>
          <w:rFonts w:cs="Arial"/>
          <w:color w:val="595959" w:themeColor="text1" w:themeTint="A6"/>
        </w:rPr>
        <w:t xml:space="preserve">Vizient, Inc. designates this activity </w:t>
      </w:r>
      <w:r w:rsidRPr="00AC726D">
        <w:rPr>
          <w:rFonts w:cs="Arial"/>
          <w:color w:val="595959" w:themeColor="text1" w:themeTint="A6"/>
        </w:rPr>
        <w:t xml:space="preserve">for a maximum of 1.00 ACPE credit hours. </w:t>
      </w:r>
    </w:p>
    <w:p w14:paraId="17F51387" w14:textId="531B3D04" w:rsidR="00C9605F" w:rsidRPr="00145C63" w:rsidRDefault="00C9605F" w:rsidP="00C9605F">
      <w:pPr>
        <w:rPr>
          <w:rFonts w:cs="Arial"/>
          <w:color w:val="595959" w:themeColor="text1" w:themeTint="A6"/>
        </w:rPr>
      </w:pPr>
      <w:r w:rsidRPr="00AC726D">
        <w:rPr>
          <w:rFonts w:cs="Arial"/>
          <w:color w:val="595959" w:themeColor="text1" w:themeTint="A6"/>
        </w:rPr>
        <w:t xml:space="preserve">Universal Activity Number: </w:t>
      </w:r>
      <w:r w:rsidR="009E40CA" w:rsidRPr="009E40CA">
        <w:rPr>
          <w:rFonts w:cs="Arial"/>
          <w:color w:val="595959" w:themeColor="text1" w:themeTint="A6"/>
        </w:rPr>
        <w:t>JA0006103-0000-22-160-L01-P</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w:t>
      </w:r>
      <w:r w:rsidRPr="00AC726D">
        <w:rPr>
          <w:rFonts w:cs="Arial"/>
          <w:color w:val="595959" w:themeColor="text1" w:themeTint="A6"/>
          <w:szCs w:val="20"/>
        </w:rPr>
        <w:t xml:space="preserve">m of 1.00 </w:t>
      </w:r>
      <w:r w:rsidRPr="00AC726D">
        <w:rPr>
          <w:rFonts w:cs="Arial"/>
          <w:i/>
          <w:iCs/>
          <w:color w:val="595959" w:themeColor="text1" w:themeTint="A6"/>
          <w:szCs w:val="20"/>
          <w:lang w:val="en"/>
        </w:rPr>
        <w:t>AMA PRA C</w:t>
      </w:r>
      <w:r w:rsidRPr="00145C63">
        <w:rPr>
          <w:rFonts w:cs="Arial"/>
          <w:i/>
          <w:iCs/>
          <w:color w:val="595959" w:themeColor="text1" w:themeTint="A6"/>
          <w:szCs w:val="20"/>
          <w:lang w:val="en"/>
        </w:rPr>
        <w:t>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38494089"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Brian Bohn, PharmD, BCPS</w:t>
      </w:r>
    </w:p>
    <w:p w14:paraId="6D3D8A9A"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Clinical Pharmacy Specialist- Infectious Diseases</w:t>
      </w:r>
    </w:p>
    <w:p w14:paraId="6CFB370B"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Barnes Jewish Hospital</w:t>
      </w:r>
    </w:p>
    <w:p w14:paraId="7C7B9FFF" w14:textId="77777777" w:rsidR="000E08CB" w:rsidRPr="000E08CB" w:rsidRDefault="000E08CB" w:rsidP="000E08CB">
      <w:pPr>
        <w:pStyle w:val="Heading3"/>
        <w:contextualSpacing/>
        <w:rPr>
          <w:rFonts w:eastAsia="Calibri" w:cs="Arial"/>
          <w:b w:val="0"/>
          <w:bCs w:val="0"/>
          <w:color w:val="696969" w:themeColor="accent6"/>
          <w:szCs w:val="20"/>
        </w:rPr>
      </w:pPr>
    </w:p>
    <w:p w14:paraId="2DB5F558"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Trang Trinh, PharmD, MPH, BCPS, BCIDP</w:t>
      </w:r>
    </w:p>
    <w:p w14:paraId="3892069D"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Associate Professor of Clinical Pharmacy</w:t>
      </w:r>
    </w:p>
    <w:p w14:paraId="5514801D"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UCSF School of Pharmacy</w:t>
      </w:r>
    </w:p>
    <w:p w14:paraId="6D649E49" w14:textId="77777777" w:rsidR="000E08CB" w:rsidRPr="000E08CB" w:rsidRDefault="000E08CB" w:rsidP="000E08CB">
      <w:pPr>
        <w:pStyle w:val="Heading3"/>
        <w:contextualSpacing/>
        <w:rPr>
          <w:rFonts w:eastAsia="Calibri" w:cs="Arial"/>
          <w:b w:val="0"/>
          <w:bCs w:val="0"/>
          <w:color w:val="696969" w:themeColor="accent6"/>
          <w:szCs w:val="20"/>
        </w:rPr>
      </w:pPr>
    </w:p>
    <w:p w14:paraId="48194E08"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Yang Zhao, PharmD, BCPS</w:t>
      </w:r>
    </w:p>
    <w:p w14:paraId="0DD357F6"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Clinical Pharmacy Specialist – Infectious Diseases</w:t>
      </w:r>
    </w:p>
    <w:p w14:paraId="7FE21DAE" w14:textId="77777777" w:rsidR="000E08CB" w:rsidRPr="000E08CB" w:rsidRDefault="000E08CB" w:rsidP="000E08CB">
      <w:pPr>
        <w:pStyle w:val="Heading3"/>
        <w:contextualSpacing/>
        <w:rPr>
          <w:rFonts w:eastAsia="Calibri" w:cs="Arial"/>
          <w:b w:val="0"/>
          <w:bCs w:val="0"/>
          <w:color w:val="696969" w:themeColor="accent6"/>
          <w:szCs w:val="20"/>
        </w:rPr>
      </w:pPr>
      <w:r w:rsidRPr="000E08CB">
        <w:rPr>
          <w:rFonts w:eastAsia="Calibri" w:cs="Arial"/>
          <w:b w:val="0"/>
          <w:bCs w:val="0"/>
          <w:color w:val="696969" w:themeColor="accent6"/>
          <w:szCs w:val="20"/>
        </w:rPr>
        <w:t>Sentara Norfolk General Hospital</w:t>
      </w:r>
    </w:p>
    <w:p w14:paraId="5B8C805E" w14:textId="77777777" w:rsidR="000E08CB" w:rsidRPr="000E08CB" w:rsidRDefault="000E08CB" w:rsidP="000E08CB"/>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2ED0EF59" w14:textId="77777777" w:rsidR="000F06A3" w:rsidRPr="000F06A3" w:rsidRDefault="000F06A3" w:rsidP="000F06A3">
      <w:pPr>
        <w:pStyle w:val="Heading3"/>
        <w:contextualSpacing/>
        <w:rPr>
          <w:rFonts w:eastAsia="Calibri" w:cs="Arial"/>
          <w:b w:val="0"/>
          <w:bCs w:val="0"/>
          <w:color w:val="696969" w:themeColor="accent6"/>
          <w:szCs w:val="20"/>
        </w:rPr>
      </w:pPr>
      <w:bookmarkStart w:id="4" w:name="_Hlk109900071"/>
      <w:r w:rsidRPr="000F06A3">
        <w:rPr>
          <w:rFonts w:eastAsia="Calibri" w:cs="Arial"/>
          <w:b w:val="0"/>
          <w:bCs w:val="0"/>
          <w:color w:val="696969" w:themeColor="accent6"/>
          <w:szCs w:val="20"/>
        </w:rPr>
        <w:t>Shannon Smallwood, PharmD, BCPS</w:t>
      </w:r>
    </w:p>
    <w:p w14:paraId="207AF0E4"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Sr. Pharmacy Executive</w:t>
      </w:r>
    </w:p>
    <w:p w14:paraId="27782037"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Vizient, Inc</w:t>
      </w:r>
    </w:p>
    <w:p w14:paraId="46789919" w14:textId="77777777" w:rsidR="000F06A3" w:rsidRPr="000F06A3" w:rsidRDefault="000F06A3" w:rsidP="000F06A3">
      <w:pPr>
        <w:pStyle w:val="Heading3"/>
        <w:contextualSpacing/>
        <w:rPr>
          <w:rFonts w:eastAsia="Calibri" w:cs="Arial"/>
          <w:b w:val="0"/>
          <w:bCs w:val="0"/>
          <w:color w:val="696969" w:themeColor="accent6"/>
          <w:szCs w:val="20"/>
        </w:rPr>
      </w:pPr>
    </w:p>
    <w:p w14:paraId="1B9639FD"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John Schoen, PharmD, BCPS</w:t>
      </w:r>
    </w:p>
    <w:p w14:paraId="6D3B5395"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Sr. Clinical Manager of Drug Information</w:t>
      </w:r>
    </w:p>
    <w:p w14:paraId="18026F92"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Vizient, Inc</w:t>
      </w:r>
    </w:p>
    <w:p w14:paraId="307EF202" w14:textId="77777777" w:rsidR="000F06A3" w:rsidRPr="000F06A3" w:rsidRDefault="000F06A3" w:rsidP="000F06A3">
      <w:pPr>
        <w:pStyle w:val="Heading3"/>
        <w:contextualSpacing/>
        <w:rPr>
          <w:rFonts w:eastAsia="Calibri" w:cs="Arial"/>
          <w:b w:val="0"/>
          <w:bCs w:val="0"/>
          <w:color w:val="696969" w:themeColor="accent6"/>
          <w:szCs w:val="20"/>
        </w:rPr>
      </w:pPr>
    </w:p>
    <w:p w14:paraId="1116F286"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Joseph M. Geskey, DO, MBA, MS-PopH</w:t>
      </w:r>
    </w:p>
    <w:p w14:paraId="3862B035"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DO, MBA, MS-PopH</w:t>
      </w:r>
    </w:p>
    <w:p w14:paraId="3D0EBD91" w14:textId="77777777" w:rsidR="000F06A3" w:rsidRPr="000F06A3" w:rsidRDefault="000F06A3" w:rsidP="000F06A3">
      <w:pPr>
        <w:pStyle w:val="Heading3"/>
        <w:contextualSpacing/>
        <w:rPr>
          <w:rFonts w:eastAsia="Calibri" w:cs="Arial"/>
          <w:b w:val="0"/>
          <w:bCs w:val="0"/>
          <w:color w:val="696969" w:themeColor="accent6"/>
          <w:szCs w:val="20"/>
        </w:rPr>
      </w:pPr>
      <w:r w:rsidRPr="000F06A3">
        <w:rPr>
          <w:rFonts w:eastAsia="Calibri" w:cs="Arial"/>
          <w:b w:val="0"/>
          <w:bCs w:val="0"/>
          <w:color w:val="696969" w:themeColor="accent6"/>
          <w:szCs w:val="20"/>
        </w:rPr>
        <w:t>Principal, Data Science &amp; Member Insights • Vizient Inc</w:t>
      </w:r>
    </w:p>
    <w:p w14:paraId="7A9F27F3" w14:textId="6C81D11B" w:rsidR="007B46F7" w:rsidRDefault="000F06A3" w:rsidP="000F06A3">
      <w:pPr>
        <w:pStyle w:val="Heading3"/>
        <w:spacing w:before="0"/>
        <w:contextualSpacing/>
        <w:rPr>
          <w:rFonts w:eastAsia="Calibri" w:cs="Arial"/>
          <w:b w:val="0"/>
          <w:bCs w:val="0"/>
          <w:color w:val="696969" w:themeColor="accent6"/>
          <w:szCs w:val="20"/>
        </w:rPr>
      </w:pPr>
      <w:r w:rsidRPr="000F06A3">
        <w:rPr>
          <w:rFonts w:eastAsia="Calibri" w:cs="Arial"/>
          <w:b w:val="0"/>
          <w:bCs w:val="0"/>
          <w:color w:val="696969" w:themeColor="accent6"/>
          <w:szCs w:val="20"/>
        </w:rPr>
        <w:t>Vizient, Inc.</w:t>
      </w:r>
    </w:p>
    <w:p w14:paraId="4B3FF9E9" w14:textId="77777777" w:rsidR="000F06A3" w:rsidRPr="000F06A3" w:rsidRDefault="000F06A3" w:rsidP="000F06A3"/>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5"/>
    <w:bookmarkEnd w:id="6"/>
    <w:p w14:paraId="05D3A741" w14:textId="77777777" w:rsidR="00B6520A" w:rsidRPr="00B6520A" w:rsidRDefault="00B6520A" w:rsidP="00B6520A">
      <w:pPr>
        <w:spacing w:after="160" w:line="252" w:lineRule="auto"/>
        <w:rPr>
          <w:rFonts w:eastAsia="Calibri" w:cs="Arial"/>
          <w:bCs/>
          <w:color w:val="696969" w:themeColor="accent6"/>
          <w:szCs w:val="20"/>
        </w:rPr>
      </w:pPr>
      <w:r w:rsidRPr="00B6520A">
        <w:rPr>
          <w:rFonts w:eastAsia="Calibri" w:cs="Arial"/>
          <w:bCs/>
          <w:color w:val="696969" w:themeColor="accent6"/>
          <w:szCs w:val="20"/>
        </w:rPr>
        <w:t>Tran Trinh – Will be discussing off-label use of antibiotics</w:t>
      </w:r>
    </w:p>
    <w:p w14:paraId="59379728" w14:textId="77777777" w:rsidR="00B6520A" w:rsidRDefault="00B6520A" w:rsidP="00B6520A">
      <w:pPr>
        <w:spacing w:after="160" w:line="252" w:lineRule="auto"/>
        <w:rPr>
          <w:rFonts w:eastAsia="Calibri" w:cs="Arial"/>
          <w:bCs/>
          <w:color w:val="696969" w:themeColor="accent6"/>
          <w:szCs w:val="20"/>
        </w:rPr>
      </w:pPr>
      <w:r w:rsidRPr="00B6520A">
        <w:rPr>
          <w:rFonts w:eastAsia="Calibri" w:cs="Arial"/>
          <w:bCs/>
          <w:color w:val="696969" w:themeColor="accent6"/>
          <w:szCs w:val="20"/>
        </w:rPr>
        <w:t>Yang Zhao – Will be discussing combination treatment approaches 2/avibactam for NDM and steno infections</w:t>
      </w:r>
    </w:p>
    <w:p w14:paraId="38B67607" w14:textId="32AAB03B" w:rsidR="00BC3423" w:rsidRDefault="00A67C74" w:rsidP="00B6520A">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7"/>
    <w:bookmarkEnd w:id="4"/>
    <w:sectPr w:rsidR="00BC3423"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7C05132A"/>
    <w:multiLevelType w:val="hybridMultilevel"/>
    <w:tmpl w:val="C7F0F554"/>
    <w:lvl w:ilvl="0" w:tplc="C138F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570E0"/>
    <w:rsid w:val="00060A68"/>
    <w:rsid w:val="00060DE0"/>
    <w:rsid w:val="00065834"/>
    <w:rsid w:val="000765B6"/>
    <w:rsid w:val="00083A7A"/>
    <w:rsid w:val="0009132C"/>
    <w:rsid w:val="000937C6"/>
    <w:rsid w:val="00095B16"/>
    <w:rsid w:val="000970CD"/>
    <w:rsid w:val="000C3C8A"/>
    <w:rsid w:val="000C5628"/>
    <w:rsid w:val="000E08CB"/>
    <w:rsid w:val="000F06A3"/>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48EC"/>
    <w:rsid w:val="00175E57"/>
    <w:rsid w:val="00182E6B"/>
    <w:rsid w:val="00185D37"/>
    <w:rsid w:val="001D2425"/>
    <w:rsid w:val="001D3415"/>
    <w:rsid w:val="001D37B1"/>
    <w:rsid w:val="001D56DD"/>
    <w:rsid w:val="001F0303"/>
    <w:rsid w:val="001F0E95"/>
    <w:rsid w:val="001F5E4B"/>
    <w:rsid w:val="00200804"/>
    <w:rsid w:val="00200BDE"/>
    <w:rsid w:val="00211BA3"/>
    <w:rsid w:val="00211EFB"/>
    <w:rsid w:val="002210D7"/>
    <w:rsid w:val="00231702"/>
    <w:rsid w:val="00236177"/>
    <w:rsid w:val="00260224"/>
    <w:rsid w:val="00273E1B"/>
    <w:rsid w:val="00277521"/>
    <w:rsid w:val="00281C69"/>
    <w:rsid w:val="0029361D"/>
    <w:rsid w:val="002B3983"/>
    <w:rsid w:val="002C549F"/>
    <w:rsid w:val="002D0D3A"/>
    <w:rsid w:val="002D2FCE"/>
    <w:rsid w:val="002E26E9"/>
    <w:rsid w:val="002E5346"/>
    <w:rsid w:val="002F32EA"/>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223B"/>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E40CA"/>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26D"/>
    <w:rsid w:val="00AC76C2"/>
    <w:rsid w:val="00AD6E51"/>
    <w:rsid w:val="00AE5182"/>
    <w:rsid w:val="00AF32FC"/>
    <w:rsid w:val="00AF364E"/>
    <w:rsid w:val="00AF3AF2"/>
    <w:rsid w:val="00AF44C9"/>
    <w:rsid w:val="00B04281"/>
    <w:rsid w:val="00B1796A"/>
    <w:rsid w:val="00B213B6"/>
    <w:rsid w:val="00B3199E"/>
    <w:rsid w:val="00B52641"/>
    <w:rsid w:val="00B640EE"/>
    <w:rsid w:val="00B6520A"/>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D15EA"/>
    <w:rsid w:val="00BD34D9"/>
    <w:rsid w:val="00BE43F5"/>
    <w:rsid w:val="00BE5A47"/>
    <w:rsid w:val="00BE627E"/>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7DA4"/>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AllExternalAdhocVariableMappings/>
</file>

<file path=customXml/item18.xml><?xml version="1.0" encoding="utf-8"?>
<SourceDataModel Name="AD_HOC" TargetDataSourceId="80be7e5f-6e71-448c-9228-23264555308c"/>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System" TargetDataSourceId="00b80028-d226-4a39-9a19-6787589aad19"/>
</file>

<file path=customXml/item21.xml><?xml version="1.0" encoding="utf-8"?>
<DocPartTree/>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UsageMapping/>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AllWordPDs>
</AllWordPDs>
</file>

<file path=customXml/item5.xml><?xml version="1.0" encoding="utf-8"?>
<AllMetadata/>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SourceDataModel Name="Computed" TargetDataSourceId="87651697-ca1f-4d80-9f69-bb743e325714"/>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267</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2022-07-26T17:49:00Z</dcterms:created>
  <dcterms:modified xsi:type="dcterms:W3CDTF">2022-10-17T18:29:00Z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