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2505A3"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5206B5C0" w:rsidR="00ED6AE4" w:rsidRPr="008B1CED" w:rsidRDefault="00C349D8" w:rsidP="00ED6AE4">
      <w:pPr>
        <w:pStyle w:val="Heading"/>
      </w:pPr>
      <w:r>
        <w:t>Navigating Therapeutic Uncertainties:  A Review of Recent Vizient Expert Panels</w:t>
      </w:r>
    </w:p>
    <w:p w14:paraId="0D0DC3CD" w14:textId="2EE1B54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349D8">
        <w:rPr>
          <w:color w:val="FF4E00" w:themeColor="accent1"/>
        </w:rPr>
        <w:t>October 21, 2022</w:t>
      </w:r>
    </w:p>
    <w:p w14:paraId="641D3E3A" w14:textId="13CF19F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349D8">
        <w:rPr>
          <w:color w:val="FF4E00" w:themeColor="accent1"/>
        </w:rPr>
        <w:t>Gretchen Brummel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F6D7D7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w:t>
      </w:r>
      <w:r w:rsidR="00C349D8" w:rsidRPr="00C349D8">
        <w:rPr>
          <w:rFonts w:cs="Arial"/>
          <w:b/>
          <w:bCs/>
          <w:color w:val="FF4E00" w:themeColor="accent1"/>
          <w:szCs w:val="20"/>
        </w:rPr>
        <w:t>December 5, 2012</w:t>
      </w:r>
      <w:r w:rsidR="00BE7633" w:rsidRPr="00C349D8">
        <w:rPr>
          <w:rFonts w:cs="Arial"/>
          <w:b/>
          <w:bCs/>
          <w:color w:val="FF4E00" w:themeColor="accent1"/>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2"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2"/>
    <w:p w14:paraId="3F09504F" w14:textId="5654840B" w:rsidR="00524EB3" w:rsidRPr="00524EB3" w:rsidRDefault="00524EB3" w:rsidP="00C349D8">
      <w:pPr>
        <w:pStyle w:val="ListParagraph"/>
        <w:ind w:left="540" w:firstLine="0"/>
        <w:rPr>
          <w:rFonts w:eastAsia="Calibri" w:cs="Arial"/>
          <w:color w:val="595959" w:themeColor="text1" w:themeTint="A6"/>
          <w:szCs w:val="20"/>
          <w:highlight w:val="yellow"/>
        </w:rPr>
      </w:pPr>
    </w:p>
    <w:p w14:paraId="535A9C2C" w14:textId="131264A8" w:rsidR="00C349D8" w:rsidRPr="00C349D8" w:rsidRDefault="00C349D8" w:rsidP="00C349D8">
      <w:pPr>
        <w:pStyle w:val="ListParagraph"/>
        <w:numPr>
          <w:ilvl w:val="0"/>
          <w:numId w:val="44"/>
        </w:numPr>
        <w:rPr>
          <w:rFonts w:eastAsia="Calibri" w:cs="Arial"/>
          <w:color w:val="595959" w:themeColor="text1" w:themeTint="A6"/>
          <w:szCs w:val="20"/>
        </w:rPr>
      </w:pPr>
      <w:r w:rsidRPr="00C349D8">
        <w:rPr>
          <w:rFonts w:eastAsia="Calibri" w:cs="Arial"/>
          <w:color w:val="595959" w:themeColor="text1" w:themeTint="A6"/>
          <w:szCs w:val="20"/>
        </w:rPr>
        <w:t xml:space="preserve">Describe the Expert Panel process </w:t>
      </w:r>
    </w:p>
    <w:p w14:paraId="5626326D" w14:textId="77777777" w:rsidR="00C349D8" w:rsidRPr="00C349D8" w:rsidRDefault="00C349D8" w:rsidP="00C349D8">
      <w:pPr>
        <w:pStyle w:val="ListParagraph"/>
        <w:ind w:left="720" w:firstLine="0"/>
        <w:rPr>
          <w:rFonts w:eastAsia="Calibri" w:cs="Arial"/>
          <w:color w:val="595959" w:themeColor="text1" w:themeTint="A6"/>
          <w:szCs w:val="20"/>
        </w:rPr>
      </w:pPr>
    </w:p>
    <w:p w14:paraId="126975C3" w14:textId="77777777" w:rsidR="00C349D8" w:rsidRPr="00C349D8" w:rsidRDefault="00C349D8" w:rsidP="00C349D8">
      <w:pPr>
        <w:pStyle w:val="ListParagraph"/>
        <w:numPr>
          <w:ilvl w:val="0"/>
          <w:numId w:val="44"/>
        </w:numPr>
        <w:rPr>
          <w:rFonts w:eastAsia="Calibri" w:cs="Arial"/>
          <w:color w:val="595959" w:themeColor="text1" w:themeTint="A6"/>
          <w:szCs w:val="20"/>
        </w:rPr>
      </w:pPr>
      <w:r w:rsidRPr="00C349D8">
        <w:rPr>
          <w:rFonts w:eastAsia="Calibri" w:cs="Arial"/>
          <w:color w:val="595959" w:themeColor="text1" w:themeTint="A6"/>
          <w:szCs w:val="20"/>
        </w:rPr>
        <w:t xml:space="preserve">Describe the therapeutic controversies and/or gaps in the literature around the use of </w:t>
      </w:r>
      <w:proofErr w:type="spellStart"/>
      <w:r w:rsidRPr="00C349D8">
        <w:rPr>
          <w:rFonts w:eastAsia="Calibri" w:cs="Arial"/>
          <w:color w:val="595959" w:themeColor="text1" w:themeTint="A6"/>
          <w:szCs w:val="20"/>
        </w:rPr>
        <w:t>tenecteplase</w:t>
      </w:r>
      <w:proofErr w:type="spellEnd"/>
      <w:r w:rsidRPr="00C349D8">
        <w:rPr>
          <w:rFonts w:eastAsia="Calibri" w:cs="Arial"/>
          <w:color w:val="595959" w:themeColor="text1" w:themeTint="A6"/>
          <w:szCs w:val="20"/>
        </w:rPr>
        <w:t xml:space="preserve"> vs alteplase in acute ischemic stroke and long-acting bupivacaine products for postsurgical analgesia </w:t>
      </w:r>
    </w:p>
    <w:p w14:paraId="72D77E79" w14:textId="77777777" w:rsidR="00C349D8" w:rsidRPr="00C349D8" w:rsidRDefault="00C349D8" w:rsidP="00C349D8">
      <w:pPr>
        <w:pStyle w:val="ListParagraph"/>
        <w:ind w:left="720" w:firstLine="0"/>
        <w:rPr>
          <w:rFonts w:eastAsia="Calibri" w:cs="Arial"/>
          <w:color w:val="595959" w:themeColor="text1" w:themeTint="A6"/>
          <w:szCs w:val="20"/>
        </w:rPr>
      </w:pPr>
    </w:p>
    <w:p w14:paraId="501BD07B" w14:textId="77777777" w:rsidR="00C349D8" w:rsidRPr="00C349D8" w:rsidRDefault="00C349D8" w:rsidP="00C349D8">
      <w:pPr>
        <w:pStyle w:val="ListParagraph"/>
        <w:numPr>
          <w:ilvl w:val="0"/>
          <w:numId w:val="44"/>
        </w:numPr>
        <w:rPr>
          <w:rFonts w:eastAsia="Calibri" w:cs="Arial"/>
          <w:color w:val="595959" w:themeColor="text1" w:themeTint="A6"/>
          <w:szCs w:val="20"/>
        </w:rPr>
      </w:pPr>
      <w:r w:rsidRPr="00C349D8">
        <w:rPr>
          <w:rFonts w:eastAsia="Calibri" w:cs="Arial"/>
          <w:color w:val="595959" w:themeColor="text1" w:themeTint="A6"/>
          <w:szCs w:val="20"/>
        </w:rPr>
        <w:t xml:space="preserve">Discuss the results of the Expert Panels for </w:t>
      </w:r>
      <w:proofErr w:type="spellStart"/>
      <w:r w:rsidRPr="00C349D8">
        <w:rPr>
          <w:rFonts w:eastAsia="Calibri" w:cs="Arial"/>
          <w:color w:val="595959" w:themeColor="text1" w:themeTint="A6"/>
          <w:szCs w:val="20"/>
        </w:rPr>
        <w:t>tenecteplase</w:t>
      </w:r>
      <w:proofErr w:type="spellEnd"/>
      <w:r w:rsidRPr="00C349D8">
        <w:rPr>
          <w:rFonts w:eastAsia="Calibri" w:cs="Arial"/>
          <w:color w:val="595959" w:themeColor="text1" w:themeTint="A6"/>
          <w:szCs w:val="20"/>
        </w:rPr>
        <w:t xml:space="preserve"> vs alteplase in acute ischemic stroke and long-acting bupivacaine products for postsurgical analgesia</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lastRenderedPageBreak/>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381C8B7" w14:textId="47C79E0F" w:rsidR="00003E64" w:rsidRDefault="00003E64" w:rsidP="00003E64">
      <w:pPr>
        <w:autoSpaceDE w:val="0"/>
        <w:autoSpaceDN w:val="0"/>
        <w:rPr>
          <w:rFonts w:cs="Arial"/>
          <w:color w:val="595959" w:themeColor="text1" w:themeTint="A6"/>
        </w:rPr>
      </w:pPr>
      <w:r w:rsidRPr="00451C91">
        <w:rPr>
          <w:rFonts w:cs="Arial"/>
          <w:color w:val="595959" w:themeColor="text1" w:themeTint="A6"/>
        </w:rPr>
        <w:t xml:space="preserve">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w:t>
      </w:r>
      <w:r w:rsidRPr="001C44DF">
        <w:rPr>
          <w:rFonts w:cs="Arial"/>
          <w:color w:val="595959" w:themeColor="text1" w:themeTint="A6"/>
        </w:rPr>
        <w:t>f 1.00 ACPE</w:t>
      </w:r>
      <w:r w:rsidRPr="00145C63">
        <w:rPr>
          <w:rFonts w:cs="Arial"/>
          <w:color w:val="595959" w:themeColor="text1" w:themeTint="A6"/>
        </w:rPr>
        <w:t xml:space="preserve"> credit hours. </w:t>
      </w:r>
    </w:p>
    <w:p w14:paraId="2FFAF152" w14:textId="3D67F8D1" w:rsidR="00C9605F" w:rsidRDefault="001C44DF" w:rsidP="00C9605F">
      <w:pPr>
        <w:rPr>
          <w:rFonts w:cs="Arial"/>
          <w:color w:val="595959" w:themeColor="text1" w:themeTint="A6"/>
        </w:rPr>
      </w:pPr>
      <w:r w:rsidRPr="001C44DF">
        <w:rPr>
          <w:rFonts w:cs="Arial"/>
          <w:color w:val="595959" w:themeColor="text1" w:themeTint="A6"/>
        </w:rPr>
        <w:t>UAN JA0006103-0000-22-069-L01-P</w:t>
      </w:r>
    </w:p>
    <w:p w14:paraId="40088BB3" w14:textId="77777777" w:rsidR="00DA1943" w:rsidRDefault="00DA1943" w:rsidP="00DA1943">
      <w:pPr>
        <w:rPr>
          <w:rFonts w:cs="Arial"/>
          <w:color w:val="595959" w:themeColor="text1" w:themeTint="A6"/>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5DCE0DF"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1D94FA7B"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John Schoen, PharmD, BCPS</w:t>
      </w:r>
    </w:p>
    <w:p w14:paraId="7759F38F"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Sr Clinical Manger, Drug Information</w:t>
      </w:r>
    </w:p>
    <w:p w14:paraId="50E19B9A"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Vizient</w:t>
      </w:r>
    </w:p>
    <w:p w14:paraId="7A1B3716" w14:textId="77777777" w:rsidR="00C349D8" w:rsidRPr="00C349D8" w:rsidRDefault="00C349D8" w:rsidP="00C349D8">
      <w:pPr>
        <w:pStyle w:val="Heading3"/>
        <w:contextualSpacing/>
        <w:rPr>
          <w:rFonts w:eastAsia="Calibri" w:cs="Arial"/>
          <w:b w:val="0"/>
          <w:bCs w:val="0"/>
          <w:color w:val="696969" w:themeColor="accent6"/>
          <w:szCs w:val="20"/>
        </w:rPr>
      </w:pPr>
    </w:p>
    <w:p w14:paraId="011D4686"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 xml:space="preserve">Kyle </w:t>
      </w:r>
      <w:proofErr w:type="spellStart"/>
      <w:r w:rsidRPr="00C349D8">
        <w:rPr>
          <w:rFonts w:eastAsia="Calibri" w:cs="Arial"/>
          <w:b w:val="0"/>
          <w:bCs w:val="0"/>
          <w:color w:val="696969" w:themeColor="accent6"/>
          <w:szCs w:val="20"/>
        </w:rPr>
        <w:t>Hoelting</w:t>
      </w:r>
      <w:proofErr w:type="spellEnd"/>
      <w:r w:rsidRPr="00C349D8">
        <w:rPr>
          <w:rFonts w:eastAsia="Calibri" w:cs="Arial"/>
          <w:b w:val="0"/>
          <w:bCs w:val="0"/>
          <w:color w:val="696969" w:themeColor="accent6"/>
          <w:szCs w:val="20"/>
        </w:rPr>
        <w:t>, PharmD, BCPS</w:t>
      </w:r>
    </w:p>
    <w:p w14:paraId="5B273C26"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Sr Clinical Manger, Drug Information</w:t>
      </w:r>
    </w:p>
    <w:p w14:paraId="6CAF7096" w14:textId="5FC4622D" w:rsidR="0009132C" w:rsidRDefault="00C349D8" w:rsidP="00C349D8">
      <w:pPr>
        <w:pStyle w:val="Heading3"/>
        <w:spacing w:before="0"/>
        <w:contextualSpacing/>
        <w:rPr>
          <w:rFonts w:eastAsia="Calibri" w:cs="Arial"/>
          <w:b w:val="0"/>
          <w:bCs w:val="0"/>
          <w:color w:val="696969" w:themeColor="accent6"/>
          <w:szCs w:val="20"/>
        </w:rPr>
      </w:pPr>
      <w:r w:rsidRPr="00C349D8">
        <w:rPr>
          <w:rFonts w:eastAsia="Calibri" w:cs="Arial"/>
          <w:b w:val="0"/>
          <w:bCs w:val="0"/>
          <w:color w:val="696969" w:themeColor="accent6"/>
          <w:szCs w:val="20"/>
        </w:rPr>
        <w:t>Vizient</w:t>
      </w:r>
    </w:p>
    <w:p w14:paraId="0BF7467F" w14:textId="77777777" w:rsidR="00C349D8" w:rsidRPr="00C349D8" w:rsidRDefault="00C349D8" w:rsidP="00C349D8"/>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407F2FBA" w14:textId="77777777" w:rsidR="00C349D8" w:rsidRPr="00C349D8" w:rsidRDefault="00C349D8" w:rsidP="00C349D8">
      <w:pPr>
        <w:pStyle w:val="Heading3"/>
        <w:contextualSpacing/>
        <w:rPr>
          <w:rFonts w:eastAsia="Calibri" w:cs="Arial"/>
          <w:b w:val="0"/>
          <w:bCs w:val="0"/>
          <w:color w:val="696969" w:themeColor="accent6"/>
          <w:szCs w:val="20"/>
        </w:rPr>
      </w:pPr>
      <w:bookmarkStart w:id="4" w:name="_Hlk109900071"/>
      <w:r w:rsidRPr="00C349D8">
        <w:rPr>
          <w:rFonts w:eastAsia="Calibri" w:cs="Arial"/>
          <w:b w:val="0"/>
          <w:bCs w:val="0"/>
          <w:color w:val="696969" w:themeColor="accent6"/>
          <w:szCs w:val="20"/>
        </w:rPr>
        <w:t>Jackie Stokes, BS</w:t>
      </w:r>
    </w:p>
    <w:p w14:paraId="6A56DB2B"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 xml:space="preserve">Manager, Pharmacy Program </w:t>
      </w:r>
    </w:p>
    <w:p w14:paraId="2122F057"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Vizient</w:t>
      </w:r>
    </w:p>
    <w:p w14:paraId="546B0CC6" w14:textId="77777777" w:rsidR="00C349D8" w:rsidRPr="00C349D8" w:rsidRDefault="00C349D8" w:rsidP="00C349D8">
      <w:pPr>
        <w:pStyle w:val="Heading3"/>
        <w:contextualSpacing/>
        <w:rPr>
          <w:rFonts w:eastAsia="Calibri" w:cs="Arial"/>
          <w:b w:val="0"/>
          <w:bCs w:val="0"/>
          <w:color w:val="696969" w:themeColor="accent6"/>
          <w:szCs w:val="20"/>
        </w:rPr>
      </w:pPr>
    </w:p>
    <w:p w14:paraId="29D5F999"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Gretchen Brummel, PharmD, BCPS</w:t>
      </w:r>
    </w:p>
    <w:p w14:paraId="10D52B1E" w14:textId="77777777" w:rsidR="00C349D8" w:rsidRPr="00C349D8" w:rsidRDefault="00C349D8" w:rsidP="00C349D8">
      <w:pPr>
        <w:pStyle w:val="Heading3"/>
        <w:contextualSpacing/>
        <w:rPr>
          <w:rFonts w:eastAsia="Calibri" w:cs="Arial"/>
          <w:b w:val="0"/>
          <w:bCs w:val="0"/>
          <w:color w:val="696969" w:themeColor="accent6"/>
          <w:szCs w:val="20"/>
        </w:rPr>
      </w:pPr>
      <w:r w:rsidRPr="00C349D8">
        <w:rPr>
          <w:rFonts w:eastAsia="Calibri" w:cs="Arial"/>
          <w:b w:val="0"/>
          <w:bCs w:val="0"/>
          <w:color w:val="696969" w:themeColor="accent6"/>
          <w:szCs w:val="20"/>
        </w:rPr>
        <w:t>Consulting Solutions Director</w:t>
      </w:r>
    </w:p>
    <w:p w14:paraId="7A9F27F3" w14:textId="76204B1C" w:rsidR="007B46F7" w:rsidRDefault="00C349D8" w:rsidP="00C349D8">
      <w:pPr>
        <w:pStyle w:val="Heading3"/>
        <w:spacing w:before="0"/>
        <w:contextualSpacing/>
        <w:rPr>
          <w:rFonts w:eastAsia="Calibri" w:cs="Arial"/>
          <w:b w:val="0"/>
          <w:bCs w:val="0"/>
          <w:color w:val="696969" w:themeColor="accent6"/>
          <w:szCs w:val="20"/>
        </w:rPr>
      </w:pPr>
      <w:r w:rsidRPr="00C349D8">
        <w:rPr>
          <w:rFonts w:eastAsia="Calibri" w:cs="Arial"/>
          <w:b w:val="0"/>
          <w:bCs w:val="0"/>
          <w:color w:val="696969" w:themeColor="accent6"/>
          <w:szCs w:val="20"/>
        </w:rPr>
        <w:t>Vizient</w:t>
      </w:r>
    </w:p>
    <w:p w14:paraId="4FEE6D07" w14:textId="77777777" w:rsidR="00C349D8" w:rsidRPr="00C349D8" w:rsidRDefault="00C349D8" w:rsidP="00C349D8"/>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1C44DF"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disclose </w:t>
      </w:r>
      <w:r w:rsidR="001D37B1" w:rsidRPr="001C44DF">
        <w:rPr>
          <w:rFonts w:eastAsia="Calibri" w:cs="Arial"/>
          <w:bCs/>
          <w:color w:val="696969" w:themeColor="accent6"/>
          <w:szCs w:val="20"/>
        </w:rPr>
        <w:t>any discussion of (1) off-label/unapproved or investigational uses of FDA approved commercial products or devices and/or (2) products or devices not yet approved in the United States.</w:t>
      </w:r>
    </w:p>
    <w:bookmarkEnd w:id="5"/>
    <w:p w14:paraId="4B200146" w14:textId="07F85670" w:rsidR="00953443" w:rsidRPr="001C44DF" w:rsidRDefault="00B9413D" w:rsidP="00F6315D">
      <w:pPr>
        <w:spacing w:after="160" w:line="252" w:lineRule="auto"/>
        <w:rPr>
          <w:rFonts w:eastAsia="Calibri" w:cs="Arial"/>
          <w:bCs/>
          <w:color w:val="696969" w:themeColor="accent6"/>
          <w:szCs w:val="20"/>
        </w:rPr>
      </w:pPr>
      <w:r w:rsidRPr="001C44DF">
        <w:rPr>
          <w:rFonts w:eastAsia="Calibri" w:cs="Arial"/>
          <w:bCs/>
          <w:color w:val="696969" w:themeColor="accent6"/>
          <w:szCs w:val="20"/>
        </w:rPr>
        <w:t>Usage Disclosure: “</w:t>
      </w:r>
      <w:r w:rsidR="00953443" w:rsidRPr="001C44DF">
        <w:rPr>
          <w:rFonts w:cstheme="majorBidi"/>
          <w:b/>
          <w:bCs/>
          <w:color w:val="01ADAB" w:themeColor="accent4"/>
          <w:szCs w:val="20"/>
        </w:rPr>
        <w:t xml:space="preserve">Off-label/unapproved drug </w:t>
      </w:r>
      <w:proofErr w:type="gramStart"/>
      <w:r w:rsidR="00041015" w:rsidRPr="001C44DF">
        <w:rPr>
          <w:rFonts w:cstheme="majorBidi"/>
          <w:b/>
          <w:bCs/>
          <w:color w:val="01ADAB" w:themeColor="accent4"/>
          <w:szCs w:val="20"/>
        </w:rPr>
        <w:t>uses</w:t>
      </w:r>
      <w:proofErr w:type="gramEnd"/>
      <w:r w:rsidR="00953443" w:rsidRPr="001C44DF">
        <w:rPr>
          <w:rFonts w:cstheme="majorBidi"/>
          <w:b/>
          <w:bCs/>
          <w:color w:val="01ADAB" w:themeColor="accent4"/>
          <w:szCs w:val="20"/>
        </w:rPr>
        <w:t xml:space="preserve"> or products are mentioned within this activity.</w:t>
      </w:r>
      <w:r w:rsidRPr="001C44DF">
        <w:rPr>
          <w:rFonts w:eastAsia="Calibri" w:cs="Arial"/>
          <w:bCs/>
          <w:color w:val="696969" w:themeColor="accent6"/>
          <w:szCs w:val="20"/>
        </w:rPr>
        <w:t>”</w:t>
      </w:r>
    </w:p>
    <w:bookmarkEnd w:id="6"/>
    <w:p w14:paraId="5B8B2DA3" w14:textId="31BF5D9C" w:rsidR="00F25D28" w:rsidRDefault="00A67C74" w:rsidP="00BC3423">
      <w:pPr>
        <w:spacing w:after="160" w:line="252" w:lineRule="auto"/>
        <w:rPr>
          <w:rFonts w:eastAsia="Calibri" w:cs="Arial"/>
          <w:bCs/>
          <w:color w:val="696969" w:themeColor="accent6"/>
          <w:szCs w:val="20"/>
        </w:rPr>
      </w:pPr>
      <w:r w:rsidRPr="001C44DF">
        <w:rPr>
          <w:rFonts w:eastAsia="Calibri" w:cs="Arial"/>
          <w:bCs/>
          <w:color w:val="696969" w:themeColor="accent6"/>
          <w:szCs w:val="20"/>
        </w:rPr>
        <w:t xml:space="preserve">Evidence-based Content: </w:t>
      </w:r>
      <w:r w:rsidRPr="001C44DF">
        <w:rPr>
          <w:rFonts w:eastAsia="Calibri" w:cs="Arial"/>
          <w:b/>
          <w:color w:val="696969" w:themeColor="accent6"/>
          <w:szCs w:val="20"/>
        </w:rPr>
        <w:t>“</w:t>
      </w:r>
      <w:r w:rsidRPr="001C44DF">
        <w:rPr>
          <w:rFonts w:cstheme="majorBidi"/>
          <w:b/>
          <w:bCs/>
          <w:color w:val="01ADAB" w:themeColor="accent4"/>
          <w:szCs w:val="20"/>
        </w:rPr>
        <w:t>Low/absen</w:t>
      </w:r>
      <w:r w:rsidR="00912146" w:rsidRPr="001C44DF">
        <w:rPr>
          <w:rFonts w:cstheme="majorBidi"/>
          <w:b/>
          <w:bCs/>
          <w:color w:val="01ADAB" w:themeColor="accent4"/>
          <w:szCs w:val="20"/>
        </w:rPr>
        <w:t>ce of</w:t>
      </w:r>
      <w:r w:rsidRPr="001C44DF">
        <w:rPr>
          <w:rFonts w:cstheme="majorBidi"/>
          <w:b/>
          <w:bCs/>
          <w:color w:val="01ADAB" w:themeColor="accent4"/>
          <w:szCs w:val="20"/>
        </w:rPr>
        <w:t xml:space="preserve"> evidence-based topics are mentioned within this activity</w:t>
      </w:r>
      <w:r w:rsidRPr="001C44DF">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4"/>
    <w:bookmarkEnd w:id="7"/>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6AEE" w14:textId="77777777" w:rsidR="006F5A60" w:rsidRDefault="006F5A60" w:rsidP="00971D43">
      <w:r>
        <w:separator/>
      </w:r>
    </w:p>
  </w:endnote>
  <w:endnote w:type="continuationSeparator" w:id="0">
    <w:p w14:paraId="694602DC" w14:textId="77777777" w:rsidR="006F5A60" w:rsidRDefault="006F5A6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01B4" w14:textId="77777777" w:rsidR="006F5A60" w:rsidRDefault="006F5A60" w:rsidP="00971D43">
      <w:r>
        <w:separator/>
      </w:r>
    </w:p>
  </w:footnote>
  <w:footnote w:type="continuationSeparator" w:id="0">
    <w:p w14:paraId="230FC225" w14:textId="77777777" w:rsidR="006F5A60" w:rsidRDefault="006F5A6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C44DF"/>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B7BAA"/>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5A60"/>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D5CEB"/>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49D8"/>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Usag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SourceDataModel Name="AD_HOC" TargetDataSourceId="80be7e5f-6e71-448c-9228-23264555308c"/>
</file>

<file path=customXml/item15.xml><?xml version="1.0" encoding="utf-8"?>
<AllMetadat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Computed" TargetDataSourceId="87651697-ca1f-4d80-9f69-bb743e325714"/>
</file>

<file path=customXml/item2.xml><?xml version="1.0" encoding="utf-8"?>
<VariableListDefinition name="System" displayName="System" id="dc9731b4-d0d2-4ed5-b20d-434d69de1706" isdomainofvalue="False" dataSourceId="00b80028-d226-4a39-9a19-6787589aad19"/>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Definition name="AD_HOC" displayName="AD_HOC" id="9426ea6f-1b24-4683-bca3-85d71f6375fd" isdomainofvalue="False" dataSourceId="80be7e5f-6e71-448c-9228-23264555308c"/>
</file>

<file path=customXml/item22.xml><?xml version="1.0" encoding="utf-8"?>
<AllExternalAdhocVariableMappings/>
</file>

<file path=customXml/item23.xml><?xml version="1.0" encoding="utf-8"?>
<DocPartTree/>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SourceDataModel Name="System" TargetDataSourceId="00b80028-d226-4a39-9a19-6787589aad19"/>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8.xml><?xml version="1.0" encoding="utf-8"?>
<AllWordPDs>
</AllWordPD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2022-09-14T16:23:00Z</dcterms:created>
  <dcterms:modified xsi:type="dcterms:W3CDTF">2022-09-14T16:56:00Z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