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0C329D"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3FC95A4E" w:rsidR="00ED6AE4" w:rsidRPr="008B1CED" w:rsidRDefault="00AD4AEA" w:rsidP="00ED6AE4">
      <w:pPr>
        <w:pStyle w:val="Heading"/>
      </w:pPr>
      <w:r>
        <w:t>Vizient Legal &amp; Compliance Network Annual Meeting 2022</w:t>
      </w:r>
    </w:p>
    <w:p w14:paraId="0D0DC3CD" w14:textId="7C6A08A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D4AEA">
        <w:rPr>
          <w:color w:val="FF4E00" w:themeColor="accent1"/>
        </w:rPr>
        <w:t>October 14, 2022</w:t>
      </w:r>
    </w:p>
    <w:p w14:paraId="641D3E3A" w14:textId="46C5E1F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D4AEA">
        <w:rPr>
          <w:color w:val="FF4E00" w:themeColor="accent1"/>
        </w:rPr>
        <w:t>Jane McCarthy, MS,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BCE87A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D4AEA">
        <w:rPr>
          <w:rFonts w:cs="Arial"/>
          <w:b/>
          <w:color w:val="FF4E00" w:themeColor="accent1"/>
          <w:szCs w:val="20"/>
        </w:rPr>
        <w:t>November 28,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19D17FA0" w:rsidR="00524EB3" w:rsidRDefault="00524EB3" w:rsidP="00524EB3">
      <w:pPr>
        <w:rPr>
          <w:rFonts w:eastAsia="Calibri" w:cs="Arial"/>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1519D433" w14:textId="77777777" w:rsidR="00AD4AEA" w:rsidRPr="00524EB3" w:rsidRDefault="00AD4AEA" w:rsidP="00524EB3">
      <w:pPr>
        <w:rPr>
          <w:rFonts w:eastAsia="Calibri" w:cs="Arial"/>
          <w:i/>
          <w:color w:val="595959" w:themeColor="text1" w:themeTint="A6"/>
          <w:szCs w:val="20"/>
        </w:rPr>
      </w:pPr>
    </w:p>
    <w:p w14:paraId="72453243" w14:textId="3CE8F6B1" w:rsidR="00AD4AEA" w:rsidRPr="00AD4AEA" w:rsidRDefault="00AD4AEA" w:rsidP="00E34BBD">
      <w:pPr>
        <w:pStyle w:val="ListParagraph"/>
        <w:numPr>
          <w:ilvl w:val="0"/>
          <w:numId w:val="50"/>
        </w:numPr>
        <w:rPr>
          <w:rFonts w:eastAsia="Calibri" w:cs="Arial"/>
          <w:color w:val="595959" w:themeColor="text1" w:themeTint="A6"/>
          <w:szCs w:val="20"/>
        </w:rPr>
      </w:pPr>
      <w:r w:rsidRPr="00AD4AEA">
        <w:rPr>
          <w:rFonts w:eastAsia="Calibri" w:cs="Arial"/>
          <w:color w:val="595959" w:themeColor="text1" w:themeTint="A6"/>
          <w:szCs w:val="20"/>
        </w:rPr>
        <w:t>Outline how to implement information blocking regulations.</w:t>
      </w:r>
    </w:p>
    <w:p w14:paraId="75E4FC29" w14:textId="2D76E316" w:rsidR="00AD4AEA" w:rsidRPr="00AD4AEA" w:rsidRDefault="00AD4AEA" w:rsidP="00DE42A4">
      <w:pPr>
        <w:pStyle w:val="ListParagraph"/>
        <w:numPr>
          <w:ilvl w:val="0"/>
          <w:numId w:val="50"/>
        </w:numPr>
        <w:rPr>
          <w:rFonts w:eastAsia="Calibri" w:cs="Arial"/>
          <w:color w:val="595959" w:themeColor="text1" w:themeTint="A6"/>
          <w:szCs w:val="20"/>
        </w:rPr>
      </w:pPr>
      <w:r w:rsidRPr="00AD4AEA">
        <w:rPr>
          <w:rFonts w:eastAsia="Calibri" w:cs="Arial"/>
          <w:color w:val="595959" w:themeColor="text1" w:themeTint="A6"/>
          <w:szCs w:val="20"/>
        </w:rPr>
        <w:t>Describe experiences with implementing Information Blocking regulations, challenges encountered, and successful strategies.</w:t>
      </w:r>
    </w:p>
    <w:p w14:paraId="693F55F0" w14:textId="105AC78E" w:rsidR="00AD4AEA" w:rsidRPr="00AD4AEA" w:rsidRDefault="00AD4AEA" w:rsidP="003473FD">
      <w:pPr>
        <w:pStyle w:val="ListParagraph"/>
        <w:numPr>
          <w:ilvl w:val="0"/>
          <w:numId w:val="50"/>
        </w:numPr>
        <w:rPr>
          <w:rFonts w:eastAsia="Calibri" w:cs="Arial"/>
          <w:color w:val="595959" w:themeColor="text1" w:themeTint="A6"/>
          <w:szCs w:val="20"/>
        </w:rPr>
      </w:pPr>
      <w:r w:rsidRPr="00AD4AEA">
        <w:rPr>
          <w:rFonts w:eastAsia="Calibri" w:cs="Arial"/>
          <w:color w:val="595959" w:themeColor="text1" w:themeTint="A6"/>
          <w:szCs w:val="20"/>
        </w:rPr>
        <w:t>Identify organizational strategies for maintaining compliance with Information Blocking regulations.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bookmarkEnd w:id="1"/>
    <w:p w14:paraId="4CC3CDF3" w14:textId="77777777" w:rsidR="0013180C" w:rsidRPr="00145C63" w:rsidRDefault="0013180C"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1595559F" w:rsidR="0013180C" w:rsidRDefault="0013180C" w:rsidP="0013180C">
      <w:pPr>
        <w:rPr>
          <w:iCs/>
          <w:color w:val="595959" w:themeColor="text1" w:themeTint="A6"/>
        </w:rPr>
      </w:pPr>
      <w:r w:rsidRPr="00145C63">
        <w:rPr>
          <w:iCs/>
          <w:color w:val="595959" w:themeColor="text1" w:themeTint="A6"/>
        </w:rPr>
        <w:t xml:space="preserve">By attending the </w:t>
      </w:r>
      <w:r w:rsidR="00AD4AEA">
        <w:rPr>
          <w:b/>
          <w:bCs/>
          <w:iCs/>
          <w:color w:val="595959" w:themeColor="text1" w:themeTint="A6"/>
        </w:rPr>
        <w:t>Vizient Legal &amp; Compliance Network Annual Meeting</w:t>
      </w:r>
      <w:r w:rsidRPr="00145C63">
        <w:rPr>
          <w:iCs/>
          <w:color w:val="595959" w:themeColor="text1" w:themeTint="A6"/>
        </w:rPr>
        <w:t xml:space="preserve"> offered by Vizient, Inc., participants may earn up to </w:t>
      </w:r>
      <w:r w:rsidR="00E61F03">
        <w:rPr>
          <w:b/>
          <w:bCs/>
          <w:iCs/>
          <w:color w:val="595959" w:themeColor="text1" w:themeTint="A6"/>
        </w:rPr>
        <w:t>1.25</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4BDA0EFF" w14:textId="077E1F70" w:rsidR="000C3C8A" w:rsidRDefault="000C3C8A" w:rsidP="0013180C">
      <w:pPr>
        <w:rPr>
          <w:iCs/>
          <w:color w:val="595959" w:themeColor="text1" w:themeTint="A6"/>
        </w:rPr>
      </w:pPr>
    </w:p>
    <w:p w14:paraId="0C88B427" w14:textId="6D559E02" w:rsidR="000C3C8A" w:rsidRDefault="000C3C8A" w:rsidP="000C3C8A">
      <w:pPr>
        <w:rPr>
          <w:iCs/>
          <w:color w:val="595959" w:themeColor="text1" w:themeTint="A6"/>
        </w:rPr>
      </w:pPr>
      <w:r>
        <w:rPr>
          <w:iCs/>
          <w:color w:val="595959" w:themeColor="text1" w:themeTint="A6"/>
        </w:rPr>
        <w:t>A</w:t>
      </w:r>
      <w:r w:rsidRPr="000C3C8A">
        <w:rPr>
          <w:iCs/>
          <w:color w:val="595959" w:themeColor="text1" w:themeTint="A6"/>
        </w:rPr>
        <w:t>ll attendees must self-report their attendance in order for this credit</w:t>
      </w:r>
      <w:r>
        <w:rPr>
          <w:iCs/>
          <w:color w:val="595959" w:themeColor="text1" w:themeTint="A6"/>
        </w:rPr>
        <w:t xml:space="preserve"> </w:t>
      </w:r>
      <w:r w:rsidRPr="000C3C8A">
        <w:rPr>
          <w:iCs/>
          <w:color w:val="595959" w:themeColor="text1" w:themeTint="A6"/>
        </w:rPr>
        <w:t>to be applied toward their advancement or recertification as Fellows of</w:t>
      </w:r>
      <w:r>
        <w:rPr>
          <w:iCs/>
          <w:color w:val="595959" w:themeColor="text1" w:themeTint="A6"/>
        </w:rPr>
        <w:t xml:space="preserve"> </w:t>
      </w:r>
      <w:r w:rsidRPr="000C3C8A">
        <w:rPr>
          <w:iCs/>
          <w:color w:val="595959" w:themeColor="text1" w:themeTint="A6"/>
        </w:rPr>
        <w:t>ACHE.</w:t>
      </w:r>
    </w:p>
    <w:p w14:paraId="148E5334" w14:textId="331ABC5F" w:rsidR="009B5CB1" w:rsidRDefault="009B5CB1" w:rsidP="0013180C">
      <w:pPr>
        <w:rPr>
          <w:iCs/>
          <w:color w:val="595959" w:themeColor="text1" w:themeTint="A6"/>
        </w:rPr>
      </w:pPr>
    </w:p>
    <w:p w14:paraId="01ED1548" w14:textId="77777777" w:rsidR="009B5CB1" w:rsidRDefault="009B5CB1" w:rsidP="009B5CB1">
      <w:pPr>
        <w:spacing w:after="120"/>
        <w:rPr>
          <w:rFonts w:eastAsia="Times New Roman" w:cs="Arial"/>
          <w:b/>
          <w:color w:val="595959" w:themeColor="text1" w:themeTint="A6"/>
          <w:szCs w:val="20"/>
        </w:rPr>
      </w:pPr>
      <w:r>
        <w:rPr>
          <w:rFonts w:eastAsia="Times New Roman" w:cs="Arial"/>
          <w:b/>
          <w:color w:val="595959" w:themeColor="text1" w:themeTint="A6"/>
          <w:szCs w:val="20"/>
        </w:rPr>
        <w:t>CLE/MCLE</w:t>
      </w:r>
    </w:p>
    <w:p w14:paraId="7F561856" w14:textId="53FF4D26" w:rsidR="009B5CB1" w:rsidRDefault="009B5CB1" w:rsidP="009B5CB1">
      <w:pPr>
        <w:spacing w:after="120"/>
        <w:rPr>
          <w:rFonts w:eastAsia="Times New Roman" w:cs="Arial"/>
          <w:bCs/>
          <w:color w:val="595959" w:themeColor="text1" w:themeTint="A6"/>
          <w:szCs w:val="20"/>
        </w:rPr>
      </w:pPr>
      <w:r>
        <w:rPr>
          <w:rFonts w:eastAsia="Times New Roman" w:cs="Arial"/>
          <w:bCs/>
          <w:color w:val="595959" w:themeColor="text1" w:themeTint="A6"/>
          <w:szCs w:val="20"/>
        </w:rPr>
        <w:lastRenderedPageBreak/>
        <w:t xml:space="preserve">This activity has been approved </w:t>
      </w:r>
      <w:r w:rsidRPr="00AD4AEA">
        <w:rPr>
          <w:rFonts w:eastAsia="Times New Roman" w:cs="Arial"/>
          <w:bCs/>
          <w:color w:val="595959" w:themeColor="text1" w:themeTint="A6"/>
          <w:szCs w:val="20"/>
        </w:rPr>
        <w:t>for 1.</w:t>
      </w:r>
      <w:r w:rsidR="00E61F03">
        <w:rPr>
          <w:rFonts w:eastAsia="Times New Roman" w:cs="Arial"/>
          <w:bCs/>
          <w:color w:val="595959" w:themeColor="text1" w:themeTint="A6"/>
          <w:szCs w:val="20"/>
        </w:rPr>
        <w:t>25</w:t>
      </w:r>
      <w:r>
        <w:rPr>
          <w:rFonts w:eastAsia="Times New Roman" w:cs="Arial"/>
          <w:bCs/>
          <w:color w:val="595959" w:themeColor="text1" w:themeTint="A6"/>
          <w:szCs w:val="20"/>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5DAD1A4F"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7F5CCDA3" w14:textId="77777777" w:rsidR="003B2569" w:rsidRDefault="003B2569" w:rsidP="0009132C">
      <w:pPr>
        <w:pStyle w:val="Heading3"/>
        <w:spacing w:before="0"/>
        <w:rPr>
          <w:sz w:val="24"/>
          <w:szCs w:val="24"/>
        </w:rPr>
      </w:pPr>
    </w:p>
    <w:p w14:paraId="22B19389" w14:textId="418AA806" w:rsidR="0009132C" w:rsidRPr="00524EB3" w:rsidRDefault="0009132C" w:rsidP="0009132C">
      <w:pPr>
        <w:pStyle w:val="Heading3"/>
        <w:spacing w:before="0"/>
        <w:rPr>
          <w:sz w:val="24"/>
          <w:szCs w:val="24"/>
        </w:rPr>
      </w:pPr>
      <w:r w:rsidRPr="00524EB3">
        <w:rPr>
          <w:sz w:val="24"/>
          <w:szCs w:val="24"/>
        </w:rPr>
        <w:t>Faculty</w:t>
      </w:r>
    </w:p>
    <w:p w14:paraId="5DB512A1" w14:textId="77777777" w:rsidR="00E61F03" w:rsidRDefault="00E61F03" w:rsidP="003B2569">
      <w:pPr>
        <w:spacing w:after="160" w:line="259" w:lineRule="auto"/>
        <w:contextualSpacing/>
        <w:rPr>
          <w:rFonts w:eastAsia="Calibri" w:cs="Arial"/>
          <w:color w:val="696969" w:themeColor="accent6"/>
          <w:szCs w:val="20"/>
        </w:rPr>
      </w:pPr>
    </w:p>
    <w:p w14:paraId="2C4E6932" w14:textId="77777777" w:rsidR="00E61F03" w:rsidRP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Dan Healy, MPP</w:t>
      </w:r>
    </w:p>
    <w:p w14:paraId="57266506" w14:textId="77777777" w:rsidR="00E61F03" w:rsidRP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Policy Coordinator</w:t>
      </w:r>
    </w:p>
    <w:p w14:paraId="76FE8A6B" w14:textId="77777777" w:rsidR="00E61F03" w:rsidRP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Office of the National Coordinator for Health IT, U.S, Department of Health &amp; Human Services</w:t>
      </w:r>
    </w:p>
    <w:p w14:paraId="1E1112A6" w14:textId="77777777" w:rsidR="00E61F03" w:rsidRPr="00E61F03" w:rsidRDefault="00E61F03" w:rsidP="00E61F03">
      <w:pPr>
        <w:spacing w:after="160" w:line="259" w:lineRule="auto"/>
        <w:contextualSpacing/>
        <w:rPr>
          <w:rFonts w:eastAsia="Calibri" w:cs="Arial"/>
          <w:color w:val="696969" w:themeColor="accent6"/>
          <w:szCs w:val="20"/>
        </w:rPr>
      </w:pPr>
    </w:p>
    <w:p w14:paraId="100533D0" w14:textId="77777777" w:rsidR="00E61F03" w:rsidRP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Cassie Weaver, JD</w:t>
      </w:r>
    </w:p>
    <w:p w14:paraId="32A16D4F" w14:textId="77777777" w:rsidR="00E61F03" w:rsidRP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Policy Analyst</w:t>
      </w:r>
    </w:p>
    <w:p w14:paraId="3D346D9D" w14:textId="77777777" w:rsidR="00E61F03" w:rsidRDefault="00E61F03" w:rsidP="00E61F03">
      <w:pPr>
        <w:spacing w:after="160" w:line="259" w:lineRule="auto"/>
        <w:contextualSpacing/>
        <w:rPr>
          <w:rFonts w:eastAsia="Calibri" w:cs="Arial"/>
          <w:color w:val="696969" w:themeColor="accent6"/>
          <w:szCs w:val="20"/>
        </w:rPr>
      </w:pPr>
      <w:r w:rsidRPr="00E61F03">
        <w:rPr>
          <w:rFonts w:eastAsia="Calibri" w:cs="Arial"/>
          <w:color w:val="696969" w:themeColor="accent6"/>
          <w:szCs w:val="20"/>
        </w:rPr>
        <w:t>Office of the National Coordinator for Health IT, U.S, Department of Health &amp; Human Services</w:t>
      </w:r>
    </w:p>
    <w:p w14:paraId="73CEF1F7" w14:textId="77777777" w:rsidR="00E61F03" w:rsidRDefault="00E61F03" w:rsidP="00E61F03">
      <w:pPr>
        <w:spacing w:after="160" w:line="259" w:lineRule="auto"/>
        <w:contextualSpacing/>
        <w:rPr>
          <w:rFonts w:eastAsia="Calibri" w:cs="Arial"/>
          <w:color w:val="696969" w:themeColor="accent6"/>
          <w:szCs w:val="20"/>
        </w:rPr>
      </w:pPr>
    </w:p>
    <w:p w14:paraId="7314E260" w14:textId="1F5DFD66" w:rsidR="00D877FD" w:rsidRPr="00D877FD" w:rsidRDefault="00D877FD" w:rsidP="00E61F03">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lastRenderedPageBreak/>
        <w:t>Jenna Jacobsen, JD</w:t>
      </w:r>
    </w:p>
    <w:p w14:paraId="033D6567" w14:textId="77777777" w:rsidR="00D877FD" w:rsidRPr="00D877FD" w:rsidRDefault="00D877FD" w:rsidP="003B2569">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Counsel 2</w:t>
      </w:r>
    </w:p>
    <w:p w14:paraId="6567E2E1" w14:textId="77777777" w:rsidR="00D877FD" w:rsidRPr="00D877FD" w:rsidRDefault="00D877FD" w:rsidP="003B2569">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UC Davis Health</w:t>
      </w:r>
    </w:p>
    <w:p w14:paraId="5D77B000" w14:textId="77777777" w:rsidR="00D877FD" w:rsidRPr="00D877FD" w:rsidRDefault="00D877FD" w:rsidP="003B2569">
      <w:pPr>
        <w:spacing w:after="160" w:line="259" w:lineRule="auto"/>
        <w:contextualSpacing/>
        <w:rPr>
          <w:rFonts w:eastAsia="Calibri" w:cs="Arial"/>
          <w:color w:val="696969" w:themeColor="accent6"/>
          <w:szCs w:val="20"/>
        </w:rPr>
      </w:pPr>
    </w:p>
    <w:p w14:paraId="53A7CDCF" w14:textId="77777777" w:rsidR="00D877FD" w:rsidRPr="00D877FD" w:rsidRDefault="00D877FD" w:rsidP="003B2569">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Jamie Ross, MS, CIPP, CIPM</w:t>
      </w:r>
    </w:p>
    <w:p w14:paraId="678F67EC" w14:textId="77777777" w:rsidR="00D877FD" w:rsidRPr="00D877FD" w:rsidRDefault="00D877FD" w:rsidP="003B2569">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Privacy Officer</w:t>
      </w:r>
    </w:p>
    <w:p w14:paraId="0392ADE4" w14:textId="77777777" w:rsidR="00D877FD" w:rsidRPr="00D877FD" w:rsidRDefault="00D877FD" w:rsidP="003B2569">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Utah Health</w:t>
      </w:r>
    </w:p>
    <w:p w14:paraId="2D25BF8C" w14:textId="77777777" w:rsidR="00D877FD" w:rsidRPr="00D877FD" w:rsidRDefault="00D877FD" w:rsidP="003B2569">
      <w:pPr>
        <w:spacing w:after="160" w:line="259" w:lineRule="auto"/>
        <w:contextualSpacing/>
        <w:rPr>
          <w:rFonts w:eastAsia="Calibri" w:cs="Arial"/>
          <w:color w:val="696969" w:themeColor="accent6"/>
          <w:szCs w:val="20"/>
        </w:rPr>
      </w:pPr>
    </w:p>
    <w:p w14:paraId="1C322EC9" w14:textId="77777777" w:rsidR="00D877FD" w:rsidRPr="00D877FD" w:rsidRDefault="00D877FD" w:rsidP="003B2569">
      <w:pPr>
        <w:spacing w:after="160" w:line="259" w:lineRule="auto"/>
        <w:contextualSpacing/>
        <w:rPr>
          <w:rFonts w:eastAsia="Calibri" w:cs="Arial"/>
          <w:bCs/>
          <w:color w:val="696969" w:themeColor="accent6"/>
          <w:szCs w:val="20"/>
        </w:rPr>
      </w:pPr>
      <w:r w:rsidRPr="00D877FD">
        <w:rPr>
          <w:rFonts w:eastAsia="Calibri" w:cs="Arial"/>
          <w:color w:val="696969" w:themeColor="accent6"/>
          <w:szCs w:val="20"/>
        </w:rPr>
        <w:t xml:space="preserve">Scott Simpson, </w:t>
      </w:r>
      <w:r w:rsidRPr="00D877FD">
        <w:rPr>
          <w:rFonts w:eastAsia="Calibri" w:cs="Arial"/>
          <w:bCs/>
          <w:color w:val="696969" w:themeColor="accent6"/>
          <w:szCs w:val="20"/>
        </w:rPr>
        <w:t>JD</w:t>
      </w:r>
    </w:p>
    <w:p w14:paraId="4C398F17" w14:textId="77777777" w:rsidR="00D877FD" w:rsidRPr="00D877FD" w:rsidRDefault="00D877FD" w:rsidP="003B2569">
      <w:pPr>
        <w:spacing w:after="160" w:line="259" w:lineRule="auto"/>
        <w:contextualSpacing/>
        <w:rPr>
          <w:rFonts w:eastAsia="Calibri" w:cs="Arial"/>
          <w:b/>
          <w:color w:val="696969" w:themeColor="accent6"/>
          <w:szCs w:val="20"/>
        </w:rPr>
      </w:pPr>
      <w:r w:rsidRPr="00D877FD">
        <w:rPr>
          <w:rFonts w:eastAsia="Calibri" w:cs="Arial"/>
          <w:color w:val="696969" w:themeColor="accent6"/>
          <w:szCs w:val="20"/>
        </w:rPr>
        <w:t>Deputy Chief Counsel</w:t>
      </w:r>
    </w:p>
    <w:p w14:paraId="5733366D" w14:textId="77777777" w:rsidR="00D877FD" w:rsidRPr="00D877FD" w:rsidRDefault="00D877FD" w:rsidP="003B2569">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Connecticut/UConn Health</w:t>
      </w:r>
    </w:p>
    <w:p w14:paraId="62BBE1F7" w14:textId="77777777" w:rsidR="00D877FD" w:rsidRPr="00D877FD" w:rsidRDefault="00D877FD" w:rsidP="003B2569">
      <w:pPr>
        <w:spacing w:after="160" w:line="259" w:lineRule="auto"/>
        <w:contextualSpacing/>
        <w:rPr>
          <w:rFonts w:eastAsia="Calibri" w:cs="Arial"/>
          <w:color w:val="696969" w:themeColor="accent6"/>
          <w:szCs w:val="20"/>
        </w:rPr>
      </w:pPr>
    </w:p>
    <w:p w14:paraId="5CD8AFEC" w14:textId="77777777" w:rsidR="00D877FD" w:rsidRPr="00D877FD" w:rsidRDefault="00D877FD" w:rsidP="003B2569">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Brent Wilson, JD</w:t>
      </w:r>
    </w:p>
    <w:p w14:paraId="7FE1DFD9" w14:textId="77777777" w:rsidR="00D877FD" w:rsidRPr="00D877FD" w:rsidRDefault="00D877FD" w:rsidP="003B2569">
      <w:pPr>
        <w:spacing w:after="160" w:line="259" w:lineRule="auto"/>
        <w:contextualSpacing/>
        <w:rPr>
          <w:rFonts w:eastAsia="Calibri" w:cs="Arial"/>
          <w:color w:val="696969" w:themeColor="accent6"/>
          <w:szCs w:val="20"/>
        </w:rPr>
      </w:pPr>
      <w:r w:rsidRPr="00D877FD">
        <w:rPr>
          <w:rFonts w:eastAsia="Calibri" w:cs="Arial"/>
          <w:color w:val="696969" w:themeColor="accent6"/>
          <w:szCs w:val="20"/>
        </w:rPr>
        <w:t>Chief Compliance Officer</w:t>
      </w:r>
    </w:p>
    <w:p w14:paraId="17559659" w14:textId="77777777" w:rsidR="00D877FD" w:rsidRPr="00D877FD" w:rsidRDefault="00D877FD" w:rsidP="003B2569">
      <w:pPr>
        <w:spacing w:after="160" w:line="259" w:lineRule="auto"/>
        <w:contextualSpacing/>
        <w:rPr>
          <w:rFonts w:eastAsia="Calibri" w:cs="Arial"/>
          <w:i/>
          <w:iCs/>
          <w:color w:val="696969" w:themeColor="accent6"/>
          <w:szCs w:val="20"/>
        </w:rPr>
      </w:pPr>
      <w:r w:rsidRPr="00D877FD">
        <w:rPr>
          <w:rFonts w:eastAsia="Calibri" w:cs="Arial"/>
          <w:i/>
          <w:iCs/>
          <w:color w:val="696969" w:themeColor="accent6"/>
          <w:szCs w:val="20"/>
        </w:rPr>
        <w:t>University of Utah Health</w:t>
      </w:r>
    </w:p>
    <w:p w14:paraId="49759A64" w14:textId="77777777" w:rsidR="00D877FD" w:rsidRPr="00D877FD" w:rsidRDefault="00D877FD" w:rsidP="003B2569">
      <w:pPr>
        <w:spacing w:after="160" w:line="259" w:lineRule="auto"/>
        <w:contextualSpacing/>
        <w:rPr>
          <w:rFonts w:eastAsia="Calibri" w:cs="Arial"/>
          <w:color w:val="696969" w:themeColor="accent6"/>
          <w:szCs w:val="20"/>
        </w:rPr>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649C48A9"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Anna Orlowski, JD</w:t>
      </w:r>
    </w:p>
    <w:p w14:paraId="5A9C693D"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Chief Counsel</w:t>
      </w:r>
    </w:p>
    <w:p w14:paraId="3D7E2DF0" w14:textId="77777777" w:rsidR="003B2569" w:rsidRPr="003B2569" w:rsidRDefault="003B2569" w:rsidP="003B2569">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UC Davis</w:t>
      </w:r>
    </w:p>
    <w:p w14:paraId="2CB535CB" w14:textId="77777777" w:rsidR="003B2569" w:rsidRPr="003B2569" w:rsidRDefault="003B2569" w:rsidP="003B2569">
      <w:pPr>
        <w:spacing w:after="160" w:line="259" w:lineRule="auto"/>
        <w:contextualSpacing/>
        <w:rPr>
          <w:rFonts w:eastAsia="Calibri" w:cs="Arial"/>
          <w:color w:val="696969" w:themeColor="accent6"/>
          <w:szCs w:val="20"/>
        </w:rPr>
      </w:pPr>
    </w:p>
    <w:p w14:paraId="3EDD6BE9"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Shannon Kennedy, MPA, CHC</w:t>
      </w:r>
    </w:p>
    <w:p w14:paraId="4F81A834"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Clinical Enterprise Integrity Officer</w:t>
      </w:r>
    </w:p>
    <w:p w14:paraId="3C1EB592" w14:textId="77777777" w:rsidR="003B2569" w:rsidRPr="003B2569" w:rsidRDefault="003B2569" w:rsidP="003B2569">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OHSU</w:t>
      </w:r>
    </w:p>
    <w:p w14:paraId="01288459" w14:textId="77777777" w:rsidR="003B2569" w:rsidRPr="003B2569" w:rsidRDefault="003B2569" w:rsidP="003B2569">
      <w:pPr>
        <w:spacing w:after="160" w:line="259" w:lineRule="auto"/>
        <w:contextualSpacing/>
        <w:rPr>
          <w:rFonts w:eastAsia="Calibri" w:cs="Arial"/>
          <w:color w:val="696969" w:themeColor="accent6"/>
          <w:szCs w:val="20"/>
        </w:rPr>
      </w:pPr>
    </w:p>
    <w:p w14:paraId="0A6A09CD"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Troy Barron, JD</w:t>
      </w:r>
    </w:p>
    <w:p w14:paraId="2106AB2F"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Associate General Counsel</w:t>
      </w:r>
    </w:p>
    <w:p w14:paraId="17E1E169" w14:textId="77777777" w:rsidR="003B2569" w:rsidRPr="003B2569" w:rsidRDefault="003B2569" w:rsidP="003B2569">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Vizient, Inc.</w:t>
      </w:r>
    </w:p>
    <w:p w14:paraId="4F91453C" w14:textId="77777777" w:rsidR="003B2569" w:rsidRPr="003B2569" w:rsidRDefault="003B2569" w:rsidP="003B2569">
      <w:pPr>
        <w:spacing w:after="160" w:line="259" w:lineRule="auto"/>
        <w:contextualSpacing/>
        <w:rPr>
          <w:rFonts w:eastAsia="Calibri" w:cs="Arial"/>
          <w:color w:val="696969" w:themeColor="accent6"/>
          <w:szCs w:val="20"/>
        </w:rPr>
      </w:pPr>
    </w:p>
    <w:p w14:paraId="1319E6F4"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Jane McCarthy, MS, RN, CPHQ</w:t>
      </w:r>
    </w:p>
    <w:p w14:paraId="63BDD9D5" w14:textId="77777777" w:rsidR="003B2569" w:rsidRPr="003B2569" w:rsidRDefault="003B2569" w:rsidP="003B2569">
      <w:pPr>
        <w:spacing w:after="160" w:line="259" w:lineRule="auto"/>
        <w:contextualSpacing/>
        <w:rPr>
          <w:rFonts w:eastAsia="Calibri" w:cs="Arial"/>
          <w:color w:val="696969" w:themeColor="accent6"/>
          <w:szCs w:val="20"/>
        </w:rPr>
      </w:pPr>
      <w:r w:rsidRPr="003B2569">
        <w:rPr>
          <w:rFonts w:eastAsia="Calibri" w:cs="Arial"/>
          <w:color w:val="696969" w:themeColor="accent6"/>
          <w:szCs w:val="20"/>
        </w:rPr>
        <w:t>Sr. Member Networks Director</w:t>
      </w:r>
    </w:p>
    <w:p w14:paraId="055AAD41" w14:textId="77777777" w:rsidR="003B2569" w:rsidRPr="003B2569" w:rsidRDefault="003B2569" w:rsidP="003B2569">
      <w:pPr>
        <w:spacing w:after="160" w:line="259" w:lineRule="auto"/>
        <w:contextualSpacing/>
        <w:rPr>
          <w:rFonts w:eastAsia="Calibri" w:cs="Arial"/>
          <w:i/>
          <w:iCs/>
          <w:color w:val="696969" w:themeColor="accent6"/>
          <w:szCs w:val="20"/>
        </w:rPr>
      </w:pPr>
      <w:r w:rsidRPr="003B2569">
        <w:rPr>
          <w:rFonts w:eastAsia="Calibri" w:cs="Arial"/>
          <w:i/>
          <w:iCs/>
          <w:color w:val="696969" w:themeColor="accent6"/>
          <w:szCs w:val="20"/>
        </w:rPr>
        <w:t>Vizient, Inc.</w:t>
      </w:r>
    </w:p>
    <w:p w14:paraId="238223D9" w14:textId="02577B3D" w:rsidR="0009132C" w:rsidRPr="00524EB3" w:rsidRDefault="0009132C" w:rsidP="0009132C">
      <w:pPr>
        <w:spacing w:after="160" w:line="259" w:lineRule="auto"/>
        <w:rPr>
          <w:rFonts w:eastAsia="Calibri" w:cs="Arial"/>
          <w:color w:val="696969" w:themeColor="accent6"/>
          <w:szCs w:val="20"/>
        </w:rPr>
      </w:pPr>
    </w:p>
    <w:p w14:paraId="7A9F27F3" w14:textId="77777777" w:rsidR="007B46F7" w:rsidRPr="00BC3423" w:rsidRDefault="007B46F7" w:rsidP="00BC3423">
      <w:pPr>
        <w:pStyle w:val="Heading3"/>
        <w:spacing w:before="0"/>
        <w:rPr>
          <w:sz w:val="24"/>
          <w:szCs w:val="24"/>
        </w:rPr>
      </w:pPr>
      <w:bookmarkStart w:id="2" w:name="_Hlk109900071"/>
    </w:p>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2"/>
    <w:bookmarkEnd w:id="3"/>
    <w:bookmarkEnd w:id="4"/>
    <w:bookmarkEnd w:id="5"/>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4A66" w14:textId="77777777" w:rsidR="00220F06" w:rsidRDefault="00220F06" w:rsidP="00971D43">
      <w:r>
        <w:separator/>
      </w:r>
    </w:p>
  </w:endnote>
  <w:endnote w:type="continuationSeparator" w:id="0">
    <w:p w14:paraId="508F1447" w14:textId="77777777" w:rsidR="00220F06" w:rsidRDefault="00220F0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A446" w14:textId="77777777" w:rsidR="00220F06" w:rsidRDefault="00220F06" w:rsidP="00971D43">
      <w:r>
        <w:separator/>
      </w:r>
    </w:p>
  </w:footnote>
  <w:footnote w:type="continuationSeparator" w:id="0">
    <w:p w14:paraId="6033D029" w14:textId="77777777" w:rsidR="00220F06" w:rsidRDefault="00220F0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6958B1"/>
    <w:multiLevelType w:val="hybridMultilevel"/>
    <w:tmpl w:val="6B2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6"/>
  </w:num>
  <w:num w:numId="17">
    <w:abstractNumId w:val="16"/>
  </w:num>
  <w:num w:numId="18">
    <w:abstractNumId w:val="39"/>
  </w:num>
  <w:num w:numId="19">
    <w:abstractNumId w:val="42"/>
  </w:num>
  <w:num w:numId="20">
    <w:abstractNumId w:val="31"/>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3"/>
  </w:num>
  <w:num w:numId="43">
    <w:abstractNumId w:val="17"/>
  </w:num>
  <w:num w:numId="44">
    <w:abstractNumId w:val="11"/>
  </w:num>
  <w:num w:numId="45">
    <w:abstractNumId w:val="25"/>
  </w:num>
  <w:num w:numId="46">
    <w:abstractNumId w:val="13"/>
  </w:num>
  <w:num w:numId="47">
    <w:abstractNumId w:val="35"/>
  </w:num>
  <w:num w:numId="48">
    <w:abstractNumId w:val="45"/>
  </w:num>
  <w:num w:numId="49">
    <w:abstractNumId w:val="3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0682"/>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0F06"/>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2569"/>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436C5"/>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2B1F"/>
    <w:rsid w:val="009A7E1B"/>
    <w:rsid w:val="009A7E9D"/>
    <w:rsid w:val="009B2BA5"/>
    <w:rsid w:val="009B5CB1"/>
    <w:rsid w:val="009B6D1A"/>
    <w:rsid w:val="009D4020"/>
    <w:rsid w:val="009F4A49"/>
    <w:rsid w:val="00A00028"/>
    <w:rsid w:val="00A5195E"/>
    <w:rsid w:val="00A53EE2"/>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4AEA"/>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77F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1F03"/>
    <w:rsid w:val="00E63522"/>
    <w:rsid w:val="00E63D33"/>
    <w:rsid w:val="00E64E1E"/>
    <w:rsid w:val="00E6655D"/>
    <w:rsid w:val="00EA0EB6"/>
    <w:rsid w:val="00EA13B8"/>
    <w:rsid w:val="00EC0481"/>
    <w:rsid w:val="00EC0593"/>
    <w:rsid w:val="00EC0B34"/>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Definition name="System" displayName="System" id="dc9731b4-d0d2-4ed5-b20d-434d69de1706" isdomainofvalue="False" dataSourceId="00b80028-d226-4a39-9a19-6787589aad19"/>
</file>

<file path=customXml/item12.xml><?xml version="1.0" encoding="utf-8"?>
<AllExternalAdhocVariableMappings/>
</file>

<file path=customXml/item13.xml><?xml version="1.0" encoding="utf-8"?>
<SourceDataModel Name="System" TargetDataSourceId="00b80028-d226-4a39-9a19-6787589aad19"/>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AllWordPDs>
</AllWordPD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AllMetadata/>
</file>

<file path=customXml/item20.xml><?xml version="1.0" encoding="utf-8"?>
<SourceDataModel Name="AD_HOC" TargetDataSourceId="80be7e5f-6e71-448c-9228-23264555308c"/>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UsageMapping/>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Computed" TargetDataSourceId="87651697-ca1f-4d80-9f69-bb743e325714"/>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AD_HOC" displayName="AD_HOC" id="9426ea6f-1b24-4683-bca3-85d71f6375fd" isdomainofvalue="False" dataSourceId="80be7e5f-6e71-448c-9228-23264555308c"/>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Definition name="Computed" displayName="Computed" id="69155e26-4760-488b-ab4c-bb15b0f8b2a2" isdomainofvalue="False" dataSourceId="87651697-ca1f-4d80-9f69-bb743e325714"/>
</file>

<file path=customXml/item9.xml><?xml version="1.0" encoding="utf-8"?>
<DocPartTree/>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2022-09-27T13:10:00Z</dcterms:created>
  <dcterms:modified xsi:type="dcterms:W3CDTF">2022-09-27T13:11:00Z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