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8892565" w14:textId="77777777" w:rsidR="00625749" w:rsidRDefault="00625749" w:rsidP="004A294A">
      <w:pPr>
        <w:pStyle w:val="BodyText1"/>
        <w:rPr>
          <w:rFonts w:eastAsiaTheme="majorEastAsia" w:cstheme="majorBidi"/>
          <w:b/>
          <w:bCs/>
          <w:color w:val="01ADAB" w:themeColor="accent4"/>
          <w:sz w:val="28"/>
          <w:szCs w:val="28"/>
        </w:rPr>
      </w:pPr>
      <w:r w:rsidRPr="00625749">
        <w:rPr>
          <w:rFonts w:eastAsiaTheme="majorEastAsia" w:cstheme="majorBidi"/>
          <w:b/>
          <w:bCs/>
          <w:color w:val="01ADAB" w:themeColor="accent4"/>
          <w:sz w:val="28"/>
          <w:szCs w:val="28"/>
        </w:rPr>
        <w:t>Coming up Short - Effectively Navigating Drug Shortages</w:t>
      </w:r>
    </w:p>
    <w:p w14:paraId="0D0DC3CD" w14:textId="2398954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25749">
        <w:rPr>
          <w:color w:val="FF4E00" w:themeColor="accent1"/>
        </w:rPr>
        <w:t>January 17, 2023</w:t>
      </w:r>
    </w:p>
    <w:p w14:paraId="641D3E3A" w14:textId="5F186B9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B3262" w:rsidRPr="005B3262">
        <w:rPr>
          <w:color w:val="FF4E00" w:themeColor="accent1"/>
        </w:rPr>
        <w:t>Sybil Thomas, PharmD,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3F3812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B3262">
        <w:rPr>
          <w:rFonts w:cs="Arial"/>
          <w:b/>
          <w:color w:val="FF4E00" w:themeColor="accent1"/>
          <w:szCs w:val="20"/>
        </w:rPr>
        <w:t>March 03, 2023</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6DD769A4" w14:textId="77777777" w:rsidR="00DE2DB9" w:rsidRPr="00DE2DB9" w:rsidRDefault="00DE2DB9" w:rsidP="00DE2DB9">
      <w:pPr>
        <w:pStyle w:val="ListParagraph"/>
        <w:numPr>
          <w:ilvl w:val="0"/>
          <w:numId w:val="50"/>
        </w:numPr>
        <w:rPr>
          <w:rFonts w:eastAsia="Calibri" w:cs="Arial"/>
          <w:color w:val="595959" w:themeColor="text1" w:themeTint="A6"/>
          <w:szCs w:val="20"/>
        </w:rPr>
      </w:pPr>
      <w:r w:rsidRPr="00DE2DB9">
        <w:rPr>
          <w:rFonts w:eastAsia="Calibri" w:cs="Arial"/>
          <w:color w:val="595959" w:themeColor="text1" w:themeTint="A6"/>
          <w:szCs w:val="20"/>
        </w:rPr>
        <w:t>Describe various methods to mitigate drug shortages.</w:t>
      </w:r>
    </w:p>
    <w:p w14:paraId="7BFC98EF" w14:textId="77777777" w:rsidR="00DE2DB9" w:rsidRPr="00DE2DB9" w:rsidRDefault="00DE2DB9" w:rsidP="00DE2DB9">
      <w:pPr>
        <w:pStyle w:val="ListParagraph"/>
        <w:numPr>
          <w:ilvl w:val="0"/>
          <w:numId w:val="50"/>
        </w:numPr>
        <w:rPr>
          <w:rFonts w:eastAsia="Calibri" w:cs="Arial"/>
          <w:color w:val="595959" w:themeColor="text1" w:themeTint="A6"/>
          <w:szCs w:val="20"/>
        </w:rPr>
      </w:pPr>
      <w:r w:rsidRPr="00DE2DB9">
        <w:rPr>
          <w:rFonts w:eastAsia="Calibri" w:cs="Arial"/>
          <w:color w:val="595959" w:themeColor="text1" w:themeTint="A6"/>
          <w:szCs w:val="20"/>
        </w:rPr>
        <w:t>Summarize opportunities to create and implement drug shortage practice and policies.</w:t>
      </w:r>
    </w:p>
    <w:p w14:paraId="2483F972" w14:textId="77777777" w:rsidR="00DE2DB9" w:rsidRPr="00DE2DB9" w:rsidRDefault="00DE2DB9" w:rsidP="00DE2DB9">
      <w:pPr>
        <w:pStyle w:val="ListParagraph"/>
        <w:numPr>
          <w:ilvl w:val="0"/>
          <w:numId w:val="50"/>
        </w:numPr>
        <w:rPr>
          <w:rFonts w:eastAsia="Calibri" w:cs="Arial"/>
          <w:color w:val="595959" w:themeColor="text1" w:themeTint="A6"/>
          <w:szCs w:val="20"/>
        </w:rPr>
      </w:pPr>
      <w:r w:rsidRPr="00DE2DB9">
        <w:rPr>
          <w:rFonts w:eastAsia="Calibri" w:cs="Arial"/>
          <w:color w:val="595959" w:themeColor="text1" w:themeTint="A6"/>
          <w:szCs w:val="20"/>
        </w:rPr>
        <w:t>Identify opportunities to reduce the efficacy, safety risks and financial impact associated with drug shortages.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w:t>
      </w:r>
      <w:r w:rsidRPr="007F333A">
        <w:rPr>
          <w:rFonts w:cs="Arial"/>
          <w:color w:val="595959" w:themeColor="text1" w:themeTint="A6"/>
        </w:rPr>
        <w:t>of 1.00 A</w:t>
      </w:r>
      <w:r w:rsidRPr="00145C63">
        <w:rPr>
          <w:rFonts w:cs="Arial"/>
          <w:color w:val="595959" w:themeColor="text1" w:themeTint="A6"/>
        </w:rPr>
        <w:t xml:space="preserve">CPE credit hours. </w:t>
      </w:r>
    </w:p>
    <w:p w14:paraId="17F51387" w14:textId="4B49D7B1" w:rsidR="00C9605F" w:rsidRPr="00145C63"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CA6A7D" w:rsidRPr="00CA6A7D">
        <w:rPr>
          <w:rFonts w:cs="Arial"/>
          <w:color w:val="595959" w:themeColor="text1" w:themeTint="A6"/>
        </w:rPr>
        <w:t>JA0006103-0000-23-001-L04-P</w:t>
      </w:r>
    </w:p>
    <w:p w14:paraId="40088BB3" w14:textId="77777777" w:rsidR="00DA1943" w:rsidRDefault="00DA1943" w:rsidP="00DA1943">
      <w:pPr>
        <w:rPr>
          <w:rFonts w:cs="Arial"/>
          <w:color w:val="595959" w:themeColor="text1" w:themeTint="A6"/>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49B67496" w14:textId="77777777" w:rsidR="0055359C" w:rsidRDefault="0055359C" w:rsidP="004506E7">
      <w:pPr>
        <w:spacing w:after="160" w:line="252" w:lineRule="auto"/>
        <w:rPr>
          <w:rFonts w:eastAsia="Calibri" w:cs="Arial"/>
          <w:b/>
          <w:bCs/>
          <w:color w:val="FF4E00"/>
          <w:sz w:val="24"/>
          <w:highlight w:val="yellow"/>
          <w:shd w:val="clear" w:color="auto" w:fill="FFFFFF"/>
        </w:rPr>
      </w:pPr>
    </w:p>
    <w:p w14:paraId="4C94FAFE" w14:textId="1F6D933E" w:rsidR="004506E7" w:rsidRPr="00837BC0" w:rsidRDefault="004506E7" w:rsidP="004506E7">
      <w:pPr>
        <w:spacing w:after="160" w:line="252" w:lineRule="auto"/>
        <w:rPr>
          <w:rFonts w:eastAsia="Calibri" w:cs="Arial"/>
          <w:b/>
          <w:bCs/>
          <w:color w:val="FF4E00"/>
          <w:sz w:val="24"/>
          <w:shd w:val="clear" w:color="auto" w:fill="FFFFFF"/>
        </w:rPr>
      </w:pPr>
      <w:r w:rsidRPr="00837BC0">
        <w:rPr>
          <w:rFonts w:eastAsia="Calibri" w:cs="Arial"/>
          <w:b/>
          <w:bCs/>
          <w:color w:val="FF4E00"/>
          <w:sz w:val="24"/>
          <w:shd w:val="clear" w:color="auto" w:fill="FFFFFF"/>
        </w:rPr>
        <w:t>Relevant Financial Relationships </w:t>
      </w:r>
    </w:p>
    <w:p w14:paraId="0A6DC5DB" w14:textId="77777777" w:rsidR="004506E7" w:rsidRPr="00837BC0" w:rsidRDefault="004506E7" w:rsidP="004506E7">
      <w:pPr>
        <w:spacing w:after="160" w:line="252" w:lineRule="auto"/>
        <w:rPr>
          <w:rFonts w:eastAsia="Calibri" w:cs="Arial"/>
          <w:color w:val="696969" w:themeColor="accent6"/>
          <w:szCs w:val="20"/>
        </w:rPr>
      </w:pPr>
      <w:r w:rsidRPr="00837BC0">
        <w:rPr>
          <w:rFonts w:eastAsia="Calibri" w:cs="Arial"/>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304C2565" w14:textId="77777777" w:rsidR="004506E7" w:rsidRPr="00837BC0" w:rsidRDefault="004506E7" w:rsidP="004506E7">
      <w:pPr>
        <w:spacing w:after="160" w:line="252" w:lineRule="auto"/>
        <w:rPr>
          <w:rFonts w:eastAsia="Calibri" w:cs="Arial"/>
          <w:color w:val="696969" w:themeColor="accent6"/>
          <w:szCs w:val="20"/>
        </w:rPr>
      </w:pPr>
      <w:r w:rsidRPr="00837BC0">
        <w:rPr>
          <w:rFonts w:eastAsia="Calibri" w:cs="Arial"/>
          <w:color w:val="696969" w:themeColor="accent6"/>
          <w:szCs w:val="20"/>
        </w:rPr>
        <w:t>An individual is considered to have a relevant financial relationship if the educational content an individual can control is related to the business lines or products of the ineligible company.</w:t>
      </w:r>
    </w:p>
    <w:p w14:paraId="74436E6D" w14:textId="44C4A6CE" w:rsidR="004506E7" w:rsidRPr="00837BC0" w:rsidRDefault="008A6525" w:rsidP="004506E7">
      <w:pPr>
        <w:pStyle w:val="Heading"/>
        <w:rPr>
          <w:b w:val="0"/>
          <w:bCs w:val="0"/>
          <w:sz w:val="20"/>
          <w:szCs w:val="20"/>
        </w:rPr>
      </w:pPr>
      <w:r>
        <w:rPr>
          <w:b w:val="0"/>
          <w:bCs w:val="0"/>
          <w:sz w:val="20"/>
          <w:szCs w:val="20"/>
        </w:rPr>
        <w:t>Michelle Holm</w:t>
      </w:r>
      <w:r w:rsidR="004506E7" w:rsidRPr="00837BC0">
        <w:rPr>
          <w:b w:val="0"/>
          <w:bCs w:val="0"/>
          <w:sz w:val="20"/>
          <w:szCs w:val="20"/>
        </w:rPr>
        <w:t xml:space="preserve">, speaker for this educational activity, </w:t>
      </w:r>
      <w:r w:rsidR="001B684D">
        <w:rPr>
          <w:b w:val="0"/>
          <w:bCs w:val="0"/>
          <w:sz w:val="20"/>
          <w:szCs w:val="20"/>
        </w:rPr>
        <w:t>has Honorariums from Par</w:t>
      </w:r>
      <w:r w:rsidR="005C3130">
        <w:rPr>
          <w:b w:val="0"/>
          <w:bCs w:val="0"/>
          <w:sz w:val="20"/>
          <w:szCs w:val="20"/>
        </w:rPr>
        <w:t>m</w:t>
      </w:r>
      <w:r w:rsidR="001B684D">
        <w:rPr>
          <w:b w:val="0"/>
          <w:bCs w:val="0"/>
          <w:sz w:val="20"/>
          <w:szCs w:val="20"/>
        </w:rPr>
        <w:t>acomos</w:t>
      </w:r>
      <w:r w:rsidR="005C3130">
        <w:rPr>
          <w:b w:val="0"/>
          <w:bCs w:val="0"/>
          <w:sz w:val="20"/>
          <w:szCs w:val="20"/>
        </w:rPr>
        <w:t xml:space="preserve"> and PAR Pharmaceuticals.  </w:t>
      </w:r>
    </w:p>
    <w:p w14:paraId="7267EB7D" w14:textId="77777777" w:rsidR="004506E7" w:rsidRPr="00837BC0" w:rsidRDefault="004506E7" w:rsidP="004506E7">
      <w:pPr>
        <w:spacing w:after="160" w:line="252" w:lineRule="auto"/>
        <w:rPr>
          <w:rFonts w:eastAsia="Calibri" w:cs="Arial"/>
          <w:color w:val="696969" w:themeColor="accent6"/>
          <w:szCs w:val="20"/>
        </w:rPr>
      </w:pPr>
      <w:r w:rsidRPr="00837BC0">
        <w:rPr>
          <w:rFonts w:eastAsia="Calibri" w:cs="Arial"/>
          <w:color w:val="696969" w:themeColor="accent6"/>
          <w:szCs w:val="20"/>
        </w:rPr>
        <w:t>All relevant financial relationships listed for these individual(s) have been mitigated.</w:t>
      </w:r>
    </w:p>
    <w:p w14:paraId="6E4D92D3" w14:textId="77777777" w:rsidR="005C3130" w:rsidRDefault="004506E7" w:rsidP="005C3130">
      <w:pPr>
        <w:spacing w:after="160" w:line="252" w:lineRule="auto"/>
        <w:rPr>
          <w:rFonts w:eastAsia="Calibri" w:cs="Arial"/>
          <w:color w:val="696969" w:themeColor="accent6"/>
          <w:szCs w:val="20"/>
        </w:rPr>
      </w:pPr>
      <w:r w:rsidRPr="00837BC0">
        <w:rPr>
          <w:rFonts w:eastAsia="Calibri" w:cs="Arial"/>
          <w:color w:val="696969" w:themeColor="accent6"/>
          <w:szCs w:val="20"/>
        </w:rPr>
        <w:t>All others in a position to control content for this educational activity have no relevant financial relationship(s) to disclose with ineligible companies whose primary business is producing, marketing, selling, re-selling, or distributing healthcare products used by or on patients.</w:t>
      </w:r>
    </w:p>
    <w:p w14:paraId="635B5B6A" w14:textId="77777777" w:rsidR="005C3130" w:rsidRDefault="005C3130" w:rsidP="005C3130">
      <w:pPr>
        <w:spacing w:after="160" w:line="252" w:lineRule="auto"/>
        <w:rPr>
          <w:rFonts w:eastAsia="Calibri" w:cs="Arial"/>
          <w:color w:val="696969" w:themeColor="accent6"/>
          <w:szCs w:val="20"/>
        </w:rPr>
      </w:pPr>
    </w:p>
    <w:p w14:paraId="7EE87E48" w14:textId="77777777" w:rsidR="005C3130" w:rsidRPr="0032668B" w:rsidRDefault="0009132C" w:rsidP="0032668B">
      <w:pPr>
        <w:pStyle w:val="Heading3"/>
        <w:spacing w:before="0"/>
        <w:rPr>
          <w:sz w:val="24"/>
          <w:szCs w:val="24"/>
        </w:rPr>
      </w:pPr>
      <w:r w:rsidRPr="0032668B">
        <w:rPr>
          <w:sz w:val="24"/>
          <w:szCs w:val="24"/>
        </w:rPr>
        <w:t>Faculty</w:t>
      </w:r>
    </w:p>
    <w:p w14:paraId="6F99A44E" w14:textId="77777777" w:rsidR="005C3130" w:rsidRDefault="00DC08DF" w:rsidP="0032668B">
      <w:pPr>
        <w:spacing w:after="160" w:line="252" w:lineRule="auto"/>
        <w:contextualSpacing/>
        <w:rPr>
          <w:rFonts w:eastAsia="Calibri" w:cs="Arial"/>
          <w:color w:val="696969" w:themeColor="accent6"/>
          <w:szCs w:val="20"/>
        </w:rPr>
      </w:pPr>
      <w:r w:rsidRPr="00DC08DF">
        <w:rPr>
          <w:rFonts w:eastAsia="Calibri" w:cs="Arial"/>
          <w:color w:val="696969" w:themeColor="accent6"/>
          <w:szCs w:val="20"/>
        </w:rPr>
        <w:t>Marsel Gjoka</w:t>
      </w:r>
    </w:p>
    <w:p w14:paraId="5746ED25" w14:textId="77777777" w:rsidR="0032668B" w:rsidRDefault="00DC08DF" w:rsidP="0032668B">
      <w:pPr>
        <w:spacing w:after="160" w:line="252" w:lineRule="auto"/>
        <w:contextualSpacing/>
        <w:rPr>
          <w:rFonts w:eastAsia="Calibri" w:cs="Arial"/>
          <w:color w:val="696969" w:themeColor="accent6"/>
          <w:szCs w:val="20"/>
        </w:rPr>
      </w:pPr>
      <w:r w:rsidRPr="00DC08DF">
        <w:rPr>
          <w:rFonts w:eastAsia="Calibri" w:cs="Arial"/>
          <w:color w:val="696969" w:themeColor="accent6"/>
          <w:szCs w:val="20"/>
        </w:rPr>
        <w:t>PharmD, BCPS, CPh</w:t>
      </w:r>
    </w:p>
    <w:p w14:paraId="2A7E4488" w14:textId="77777777" w:rsidR="0032668B" w:rsidRDefault="00DC08DF" w:rsidP="0032668B">
      <w:pPr>
        <w:spacing w:after="160" w:line="252" w:lineRule="auto"/>
        <w:contextualSpacing/>
        <w:rPr>
          <w:rFonts w:eastAsia="Calibri" w:cs="Arial"/>
          <w:color w:val="696969" w:themeColor="accent6"/>
          <w:szCs w:val="20"/>
        </w:rPr>
      </w:pPr>
      <w:r w:rsidRPr="00DC08DF">
        <w:rPr>
          <w:rFonts w:eastAsia="Calibri" w:cs="Arial"/>
          <w:color w:val="696969" w:themeColor="accent6"/>
          <w:szCs w:val="20"/>
        </w:rPr>
        <w:t>Pharmacy Operations Supervisor</w:t>
      </w:r>
    </w:p>
    <w:p w14:paraId="16A4AA4D" w14:textId="77777777" w:rsidR="009D6BF6" w:rsidRDefault="00DC08DF" w:rsidP="009D6BF6">
      <w:pPr>
        <w:spacing w:after="160" w:line="252" w:lineRule="auto"/>
        <w:contextualSpacing/>
        <w:rPr>
          <w:rFonts w:eastAsia="Calibri" w:cs="Arial"/>
          <w:color w:val="696969" w:themeColor="accent6"/>
          <w:szCs w:val="20"/>
        </w:rPr>
      </w:pPr>
      <w:r w:rsidRPr="00DC08DF">
        <w:rPr>
          <w:rFonts w:eastAsia="Calibri" w:cs="Arial"/>
          <w:color w:val="696969" w:themeColor="accent6"/>
          <w:szCs w:val="20"/>
        </w:rPr>
        <w:t>UFHealth, Jacksonville</w:t>
      </w:r>
    </w:p>
    <w:p w14:paraId="3A9D7243" w14:textId="77777777" w:rsidR="009D6BF6" w:rsidRDefault="009D6BF6" w:rsidP="009D6BF6">
      <w:pPr>
        <w:spacing w:after="160" w:line="252" w:lineRule="auto"/>
        <w:contextualSpacing/>
        <w:rPr>
          <w:rFonts w:eastAsia="Calibri" w:cs="Arial"/>
          <w:color w:val="696969" w:themeColor="accent6"/>
          <w:szCs w:val="20"/>
        </w:rPr>
      </w:pPr>
    </w:p>
    <w:p w14:paraId="04B2E851" w14:textId="77777777" w:rsidR="009D6BF6" w:rsidRDefault="00DC08DF" w:rsidP="009D6BF6">
      <w:pPr>
        <w:spacing w:after="160" w:line="252" w:lineRule="auto"/>
        <w:contextualSpacing/>
        <w:rPr>
          <w:rFonts w:eastAsia="Calibri" w:cs="Arial"/>
          <w:color w:val="696969" w:themeColor="accent6"/>
          <w:szCs w:val="20"/>
        </w:rPr>
      </w:pPr>
      <w:r w:rsidRPr="00DC08DF">
        <w:rPr>
          <w:rFonts w:eastAsia="Calibri" w:cs="Arial"/>
          <w:color w:val="696969" w:themeColor="accent6"/>
          <w:szCs w:val="20"/>
        </w:rPr>
        <w:t>Mary Munchalfen, PharmD, MHA, BCPS</w:t>
      </w:r>
    </w:p>
    <w:p w14:paraId="70CF3C88" w14:textId="77777777" w:rsidR="009D6BF6" w:rsidRDefault="00DC08DF" w:rsidP="009D6BF6">
      <w:pPr>
        <w:spacing w:after="160" w:line="252" w:lineRule="auto"/>
        <w:contextualSpacing/>
        <w:rPr>
          <w:rFonts w:eastAsia="Calibri" w:cs="Arial"/>
          <w:color w:val="696969" w:themeColor="accent6"/>
          <w:szCs w:val="20"/>
        </w:rPr>
      </w:pPr>
      <w:r w:rsidRPr="00DC08DF">
        <w:rPr>
          <w:rFonts w:eastAsia="Calibri" w:cs="Arial"/>
          <w:color w:val="696969" w:themeColor="accent6"/>
          <w:szCs w:val="20"/>
        </w:rPr>
        <w:t>Director of Pharmaceutical Procurement &amp; Supply</w:t>
      </w:r>
    </w:p>
    <w:p w14:paraId="4C2D0B07" w14:textId="5952187A" w:rsidR="00DC08DF" w:rsidRDefault="00DC08DF" w:rsidP="009D6BF6">
      <w:pPr>
        <w:spacing w:after="160" w:line="252" w:lineRule="auto"/>
        <w:contextualSpacing/>
        <w:rPr>
          <w:rFonts w:eastAsia="Calibri" w:cs="Arial"/>
          <w:color w:val="696969" w:themeColor="accent6"/>
          <w:szCs w:val="20"/>
        </w:rPr>
      </w:pPr>
      <w:r w:rsidRPr="00DC08DF">
        <w:rPr>
          <w:rFonts w:eastAsia="Calibri" w:cs="Arial"/>
          <w:color w:val="696969" w:themeColor="accent6"/>
          <w:szCs w:val="20"/>
        </w:rPr>
        <w:t>Mayo Clinic</w:t>
      </w:r>
    </w:p>
    <w:p w14:paraId="3D81EFE4" w14:textId="3CDCC310" w:rsidR="009D6BF6" w:rsidRDefault="009D6BF6" w:rsidP="009D6BF6">
      <w:pPr>
        <w:spacing w:after="160" w:line="252" w:lineRule="auto"/>
        <w:contextualSpacing/>
        <w:rPr>
          <w:rFonts w:eastAsia="Calibri" w:cs="Arial"/>
          <w:color w:val="696969" w:themeColor="accent6"/>
          <w:szCs w:val="20"/>
        </w:rPr>
      </w:pPr>
    </w:p>
    <w:p w14:paraId="44FF4FD1" w14:textId="77777777" w:rsidR="00DC08DF" w:rsidRPr="00DC08DF" w:rsidRDefault="00DC08DF" w:rsidP="00DC08DF">
      <w:pPr>
        <w:pStyle w:val="Heading3"/>
        <w:contextualSpacing/>
        <w:rPr>
          <w:rFonts w:eastAsia="Calibri" w:cs="Arial"/>
          <w:b w:val="0"/>
          <w:bCs w:val="0"/>
          <w:color w:val="696969" w:themeColor="accent6"/>
          <w:szCs w:val="20"/>
        </w:rPr>
      </w:pPr>
      <w:r w:rsidRPr="00DC08DF">
        <w:rPr>
          <w:rFonts w:eastAsia="Calibri" w:cs="Arial"/>
          <w:b w:val="0"/>
          <w:bCs w:val="0"/>
          <w:color w:val="696969" w:themeColor="accent6"/>
          <w:szCs w:val="20"/>
        </w:rPr>
        <w:t>Michelle Holm, PharmD, MPH</w:t>
      </w:r>
    </w:p>
    <w:p w14:paraId="11A5DCD2" w14:textId="77777777" w:rsidR="00DC08DF" w:rsidRPr="00DC08DF" w:rsidRDefault="00DC08DF" w:rsidP="00DC08DF">
      <w:pPr>
        <w:pStyle w:val="Heading3"/>
        <w:contextualSpacing/>
        <w:rPr>
          <w:rFonts w:eastAsia="Calibri" w:cs="Arial"/>
          <w:b w:val="0"/>
          <w:bCs w:val="0"/>
          <w:color w:val="696969" w:themeColor="accent6"/>
          <w:szCs w:val="20"/>
        </w:rPr>
      </w:pPr>
      <w:r w:rsidRPr="00DC08DF">
        <w:rPr>
          <w:rFonts w:eastAsia="Calibri" w:cs="Arial"/>
          <w:b w:val="0"/>
          <w:bCs w:val="0"/>
          <w:color w:val="696969" w:themeColor="accent6"/>
          <w:szCs w:val="20"/>
        </w:rPr>
        <w:t>Senior Pharmaceutical Contract Portfolio Manager</w:t>
      </w:r>
    </w:p>
    <w:p w14:paraId="6CAF7096" w14:textId="7B9C679B" w:rsidR="0009132C" w:rsidRDefault="00DC08DF" w:rsidP="00DC08DF">
      <w:pPr>
        <w:pStyle w:val="Heading3"/>
        <w:spacing w:before="0"/>
        <w:contextualSpacing/>
        <w:rPr>
          <w:rFonts w:eastAsia="Calibri" w:cs="Arial"/>
          <w:b w:val="0"/>
          <w:bCs w:val="0"/>
          <w:color w:val="696969" w:themeColor="accent6"/>
          <w:szCs w:val="20"/>
        </w:rPr>
      </w:pPr>
      <w:r w:rsidRPr="00DC08DF">
        <w:rPr>
          <w:rFonts w:eastAsia="Calibri" w:cs="Arial"/>
          <w:b w:val="0"/>
          <w:bCs w:val="0"/>
          <w:color w:val="696969" w:themeColor="accent6"/>
          <w:szCs w:val="20"/>
        </w:rPr>
        <w:t>Mayo Clinic</w:t>
      </w:r>
    </w:p>
    <w:p w14:paraId="3A3F9028" w14:textId="77777777" w:rsidR="00DC08DF" w:rsidRPr="00DC08DF" w:rsidRDefault="00DC08DF" w:rsidP="00DC08DF"/>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2389856A" w14:textId="77777777" w:rsidR="009A017F" w:rsidRPr="009A017F" w:rsidRDefault="009A017F" w:rsidP="009A017F">
      <w:pPr>
        <w:pStyle w:val="Heading3"/>
        <w:contextualSpacing/>
        <w:rPr>
          <w:rFonts w:eastAsia="Calibri" w:cs="Arial"/>
          <w:b w:val="0"/>
          <w:bCs w:val="0"/>
          <w:color w:val="696969" w:themeColor="accent6"/>
          <w:szCs w:val="20"/>
        </w:rPr>
      </w:pPr>
      <w:bookmarkStart w:id="3" w:name="_Hlk109900071"/>
      <w:r w:rsidRPr="009A017F">
        <w:rPr>
          <w:rFonts w:eastAsia="Calibri" w:cs="Arial"/>
          <w:b w:val="0"/>
          <w:bCs w:val="0"/>
          <w:color w:val="696969" w:themeColor="accent6"/>
          <w:szCs w:val="20"/>
        </w:rPr>
        <w:t>Sybil Thomas, PharmD, MBA</w:t>
      </w:r>
    </w:p>
    <w:p w14:paraId="6DCFFA50" w14:textId="77777777" w:rsidR="009A017F" w:rsidRPr="009A017F" w:rsidRDefault="009A017F" w:rsidP="009A017F">
      <w:pPr>
        <w:pStyle w:val="Heading3"/>
        <w:contextualSpacing/>
        <w:rPr>
          <w:rFonts w:eastAsia="Calibri" w:cs="Arial"/>
          <w:b w:val="0"/>
          <w:bCs w:val="0"/>
          <w:color w:val="696969" w:themeColor="accent6"/>
          <w:szCs w:val="20"/>
        </w:rPr>
      </w:pPr>
      <w:r w:rsidRPr="009A017F">
        <w:rPr>
          <w:rFonts w:eastAsia="Calibri" w:cs="Arial"/>
          <w:b w:val="0"/>
          <w:bCs w:val="0"/>
          <w:color w:val="696969" w:themeColor="accent6"/>
          <w:szCs w:val="20"/>
        </w:rPr>
        <w:t>AVP, Member Connections</w:t>
      </w:r>
    </w:p>
    <w:p w14:paraId="7A9F27F3" w14:textId="7093AC86" w:rsidR="007B46F7" w:rsidRDefault="009A017F" w:rsidP="009A017F">
      <w:pPr>
        <w:pStyle w:val="Heading3"/>
        <w:spacing w:before="0"/>
        <w:contextualSpacing/>
        <w:rPr>
          <w:rFonts w:eastAsia="Calibri" w:cs="Arial"/>
          <w:b w:val="0"/>
          <w:bCs w:val="0"/>
          <w:color w:val="696969" w:themeColor="accent6"/>
          <w:szCs w:val="20"/>
        </w:rPr>
      </w:pPr>
      <w:r w:rsidRPr="009A017F">
        <w:rPr>
          <w:rFonts w:eastAsia="Calibri" w:cs="Arial"/>
          <w:b w:val="0"/>
          <w:bCs w:val="0"/>
          <w:color w:val="696969" w:themeColor="accent6"/>
          <w:szCs w:val="20"/>
        </w:rPr>
        <w:t>Vizient</w:t>
      </w:r>
    </w:p>
    <w:p w14:paraId="6C4E72D5" w14:textId="77777777" w:rsidR="009A017F" w:rsidRPr="009A017F" w:rsidRDefault="009A017F" w:rsidP="009A017F"/>
    <w:bookmarkEnd w:id="3"/>
    <w:sectPr w:rsidR="009A017F" w:rsidRPr="009A017F"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604422F"/>
    <w:multiLevelType w:val="hybridMultilevel"/>
    <w:tmpl w:val="71B0F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4"/>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5"/>
  </w:num>
  <w:num w:numId="49">
    <w:abstractNumId w:val="2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10F2"/>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B684D"/>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868A6"/>
    <w:rsid w:val="0029361D"/>
    <w:rsid w:val="002B3983"/>
    <w:rsid w:val="002C549F"/>
    <w:rsid w:val="002D0D3A"/>
    <w:rsid w:val="002D2FCE"/>
    <w:rsid w:val="002E26E9"/>
    <w:rsid w:val="002E5346"/>
    <w:rsid w:val="00307785"/>
    <w:rsid w:val="00312693"/>
    <w:rsid w:val="00315D23"/>
    <w:rsid w:val="00316BC2"/>
    <w:rsid w:val="003259A5"/>
    <w:rsid w:val="0032668B"/>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359C"/>
    <w:rsid w:val="0055599E"/>
    <w:rsid w:val="00560C84"/>
    <w:rsid w:val="00560CD0"/>
    <w:rsid w:val="00563BEA"/>
    <w:rsid w:val="00586A2D"/>
    <w:rsid w:val="00586A82"/>
    <w:rsid w:val="00587434"/>
    <w:rsid w:val="0059060D"/>
    <w:rsid w:val="00592B90"/>
    <w:rsid w:val="005A78EF"/>
    <w:rsid w:val="005B3262"/>
    <w:rsid w:val="005C3130"/>
    <w:rsid w:val="005C5387"/>
    <w:rsid w:val="005E0578"/>
    <w:rsid w:val="005F37E5"/>
    <w:rsid w:val="005F3EA9"/>
    <w:rsid w:val="005F53FC"/>
    <w:rsid w:val="005F7196"/>
    <w:rsid w:val="00607C19"/>
    <w:rsid w:val="00612814"/>
    <w:rsid w:val="00625749"/>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333A"/>
    <w:rsid w:val="007F42A3"/>
    <w:rsid w:val="007F7B52"/>
    <w:rsid w:val="00815BAC"/>
    <w:rsid w:val="00825C14"/>
    <w:rsid w:val="00826763"/>
    <w:rsid w:val="008323D6"/>
    <w:rsid w:val="00832E17"/>
    <w:rsid w:val="00834830"/>
    <w:rsid w:val="00837BC0"/>
    <w:rsid w:val="00844482"/>
    <w:rsid w:val="00851FDB"/>
    <w:rsid w:val="008730EB"/>
    <w:rsid w:val="00880598"/>
    <w:rsid w:val="008939B0"/>
    <w:rsid w:val="008A32F5"/>
    <w:rsid w:val="008A6525"/>
    <w:rsid w:val="008B127D"/>
    <w:rsid w:val="008C68EB"/>
    <w:rsid w:val="008C7DC3"/>
    <w:rsid w:val="008D1039"/>
    <w:rsid w:val="008F0EC4"/>
    <w:rsid w:val="00912146"/>
    <w:rsid w:val="009225E4"/>
    <w:rsid w:val="00931508"/>
    <w:rsid w:val="009322F6"/>
    <w:rsid w:val="00952F89"/>
    <w:rsid w:val="00953443"/>
    <w:rsid w:val="00963CDE"/>
    <w:rsid w:val="00971D43"/>
    <w:rsid w:val="00980A48"/>
    <w:rsid w:val="00987B49"/>
    <w:rsid w:val="009A017F"/>
    <w:rsid w:val="009A27BF"/>
    <w:rsid w:val="009A7E1B"/>
    <w:rsid w:val="009A7E9D"/>
    <w:rsid w:val="009B2BA5"/>
    <w:rsid w:val="009B5CB1"/>
    <w:rsid w:val="009B6D1A"/>
    <w:rsid w:val="009D4020"/>
    <w:rsid w:val="009D6BF6"/>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859A9"/>
    <w:rsid w:val="00C90C2A"/>
    <w:rsid w:val="00C93913"/>
    <w:rsid w:val="00C93CE2"/>
    <w:rsid w:val="00C9605F"/>
    <w:rsid w:val="00C9606B"/>
    <w:rsid w:val="00CA20C5"/>
    <w:rsid w:val="00CA6A7D"/>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8DF"/>
    <w:rsid w:val="00DC09A4"/>
    <w:rsid w:val="00DD68D3"/>
    <w:rsid w:val="00DE18AA"/>
    <w:rsid w:val="00DE2DB9"/>
    <w:rsid w:val="00DE3426"/>
    <w:rsid w:val="00DF65D5"/>
    <w:rsid w:val="00E04296"/>
    <w:rsid w:val="00E435CD"/>
    <w:rsid w:val="00E47D10"/>
    <w:rsid w:val="00E50346"/>
    <w:rsid w:val="00E609BA"/>
    <w:rsid w:val="00E63522"/>
    <w:rsid w:val="00E63D33"/>
    <w:rsid w:val="00E64E1E"/>
    <w:rsid w:val="00E6655D"/>
    <w:rsid w:val="00EA0EB6"/>
    <w:rsid w:val="00EA13B8"/>
    <w:rsid w:val="00EB4E0A"/>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02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AllWordPDs>
</AllWordPDs>
</file>

<file path=customXml/item11.xml><?xml version="1.0" encoding="utf-8"?>
<AllExternalAdhocVariableMappings/>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UsageMapping/>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DocPartTree/>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SourceDataModel Name="AD_HOC" TargetDataSourceId="80be7e5f-6e71-448c-9228-23264555308c"/>
</file>

<file path=customXml/item19.xml><?xml version="1.0" encoding="utf-8"?>
<SourceDataModel Name="System" TargetDataSourceId="00b80028-d226-4a39-9a19-6787589aad19"/>
</file>

<file path=customXml/item2.xml><?xml version="1.0" encoding="utf-8"?>
<VariableListDefinition name="AD_HOC" displayName="AD_HOC" id="9426ea6f-1b24-4683-bca3-85d71f6375fd" isdomainofvalue="False" dataSourceId="80be7e5f-6e71-448c-9228-23264555308c"/>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Metadata/>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VariableListDefinition name="System" displayName="System" id="dc9731b4-d0d2-4ed5-b20d-434d69de1706" isdomainofvalue="False" dataSourceId="00b80028-d226-4a39-9a19-6787589aad19"/>
</file>

<file path=customXml/item7.xml><?xml version="1.0" encoding="utf-8"?>
<VariableListDefinition name="Computed" displayName="Computed" id="69155e26-4760-488b-ab4c-bb15b0f8b2a2" isdomainofvalue="False" dataSourceId="87651697-ca1f-4d80-9f69-bb743e325714"/>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258</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36</cp:revision>
  <cp:lastPrinted>2015-12-22T16:01:00Z</cp:lastPrinted>
  <dcterms:created xsi:type="dcterms:W3CDTF">2022-07-26T17:49:00Z</dcterms:created>
  <dcterms:modified xsi:type="dcterms:W3CDTF">2022-09-22T18:09:00Z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