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358F531" w14:textId="77777777" w:rsidR="00A101D7" w:rsidRDefault="00A101D7" w:rsidP="00A101D7">
      <w:pPr>
        <w:pStyle w:val="Heading"/>
        <w:rPr>
          <w:color w:val="595959" w:themeColor="text1" w:themeTint="A6"/>
        </w:rPr>
      </w:pPr>
      <w:bookmarkStart w:id="0" w:name="_Hlk107493170"/>
      <w:r w:rsidRPr="00B34DF4">
        <w:t>2022 Heartland Pharmacy Purchasing Partners (HP3) Annual In-Person CE Meeting</w:t>
      </w:r>
      <w:bookmarkEnd w:id="0"/>
      <w:r w:rsidRPr="00145C63">
        <w:rPr>
          <w:color w:val="595959" w:themeColor="text1" w:themeTint="A6"/>
        </w:rPr>
        <w:t xml:space="preserve"> </w:t>
      </w:r>
    </w:p>
    <w:p w14:paraId="0D0DC3CD" w14:textId="75C31A1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101D7">
        <w:rPr>
          <w:color w:val="595959" w:themeColor="text1" w:themeTint="A6"/>
        </w:rPr>
        <w:t>August 11 &amp; 12, 2022</w:t>
      </w:r>
    </w:p>
    <w:p w14:paraId="641D3E3A" w14:textId="4B2BA56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542332">
        <w:rPr>
          <w:color w:val="595959" w:themeColor="text1" w:themeTint="A6"/>
        </w:rPr>
        <w:t>Alpi</w:t>
      </w:r>
      <w:proofErr w:type="spellEnd"/>
      <w:r w:rsidR="00542332">
        <w:rPr>
          <w:color w:val="595959" w:themeColor="text1" w:themeTint="A6"/>
        </w:rPr>
        <w:t xml:space="preserve"> Gand</w:t>
      </w:r>
      <w:r w:rsidR="00BF555B">
        <w:rPr>
          <w:color w:val="595959" w:themeColor="text1" w:themeTint="A6"/>
        </w:rPr>
        <w:t>h</w:t>
      </w:r>
      <w:r w:rsidR="00542332">
        <w:rPr>
          <w:color w:val="595959" w:themeColor="text1" w:themeTint="A6"/>
        </w:rPr>
        <w:t>i,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320309">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320309">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C20E848" w:rsidR="00EA13B8" w:rsidRPr="00D13F13" w:rsidRDefault="00EA13B8" w:rsidP="00320309">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101D7">
        <w:rPr>
          <w:rFonts w:cs="Arial"/>
          <w:b/>
          <w:color w:val="595959" w:themeColor="text1" w:themeTint="A6"/>
          <w:szCs w:val="20"/>
        </w:rPr>
        <w:t>September 25, 202</w:t>
      </w:r>
      <w:r w:rsidR="00542332">
        <w:rPr>
          <w:rFonts w:cs="Arial"/>
          <w:b/>
          <w:color w:val="595959" w:themeColor="text1" w:themeTint="A6"/>
          <w:szCs w:val="20"/>
        </w:rPr>
        <w:t>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1"/>
    <w:p w14:paraId="499319BA" w14:textId="77777777" w:rsidR="008730EB" w:rsidRPr="000211DF" w:rsidRDefault="008730EB" w:rsidP="008730EB">
      <w:pPr>
        <w:rPr>
          <w:rFonts w:cs="Arial"/>
          <w:szCs w:val="20"/>
        </w:rPr>
      </w:pPr>
    </w:p>
    <w:p w14:paraId="2B4ECF29" w14:textId="546610E2"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457D344D" w:rsidR="00EA13B8" w:rsidRPr="00145C63" w:rsidRDefault="00EA13B8" w:rsidP="00320309">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320309">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5CDC19F" w14:textId="4111BC31" w:rsidR="00320309" w:rsidRDefault="00320309" w:rsidP="00320309">
      <w:pPr>
        <w:rPr>
          <w:rFonts w:cs="Arial"/>
          <w:b/>
          <w:color w:val="595959" w:themeColor="text1" w:themeTint="A6"/>
          <w:szCs w:val="20"/>
        </w:rPr>
      </w:pPr>
      <w:bookmarkStart w:id="3" w:name="_Hlk93483410"/>
      <w:r w:rsidRPr="00FD1BCB">
        <w:rPr>
          <w:rFonts w:cs="Arial"/>
          <w:b/>
          <w:color w:val="595959" w:themeColor="text1" w:themeTint="A6"/>
          <w:szCs w:val="20"/>
        </w:rPr>
        <w:t xml:space="preserve">8/11/2022 – Understanding Pharmacy Distribution Economics - Keys to Effective Contract Negotiations </w:t>
      </w:r>
    </w:p>
    <w:p w14:paraId="606D7C4A" w14:textId="6E732E38" w:rsidR="00320309" w:rsidRPr="00320309" w:rsidRDefault="00320309" w:rsidP="00320309">
      <w:pPr>
        <w:ind w:left="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2E082DF1" w14:textId="47C23087" w:rsidR="00320309" w:rsidRPr="002B2507" w:rsidRDefault="00320309" w:rsidP="00320309">
      <w:pPr>
        <w:pStyle w:val="BodyText-VZT"/>
        <w:numPr>
          <w:ilvl w:val="0"/>
          <w:numId w:val="6"/>
        </w:numPr>
      </w:pPr>
      <w:r w:rsidRPr="002B2507">
        <w:t>Provide an overview of pharmacy distribution channels servicing member organizations</w:t>
      </w:r>
    </w:p>
    <w:p w14:paraId="0AD73CB0" w14:textId="7FCC80E8" w:rsidR="00320309" w:rsidRPr="002B2507" w:rsidRDefault="00320309" w:rsidP="00320309">
      <w:pPr>
        <w:pStyle w:val="BodyText-VZT"/>
        <w:numPr>
          <w:ilvl w:val="0"/>
          <w:numId w:val="6"/>
        </w:numPr>
      </w:pPr>
      <w:r w:rsidRPr="002B2507">
        <w:t>Discuss the distributor business strategies, including owned GPOs and services</w:t>
      </w:r>
    </w:p>
    <w:p w14:paraId="7E3FE002" w14:textId="637A4AA0" w:rsidR="00320309" w:rsidRPr="002B2507" w:rsidRDefault="00320309" w:rsidP="00320309">
      <w:pPr>
        <w:pStyle w:val="BodyText-VZT"/>
        <w:numPr>
          <w:ilvl w:val="0"/>
          <w:numId w:val="6"/>
        </w:numPr>
      </w:pPr>
      <w:r w:rsidRPr="002B2507">
        <w:t>Demonstrate how distributors make money and the impact of product and account types</w:t>
      </w:r>
    </w:p>
    <w:p w14:paraId="7381B624" w14:textId="658DD030" w:rsidR="00320309" w:rsidRPr="002B2507" w:rsidRDefault="00320309" w:rsidP="00320309">
      <w:pPr>
        <w:pStyle w:val="BodyText-VZT"/>
        <w:numPr>
          <w:ilvl w:val="0"/>
          <w:numId w:val="6"/>
        </w:numPr>
      </w:pPr>
      <w:r w:rsidRPr="002B2507">
        <w:t>Discuss the manufacturer influence on channel and class of trade</w:t>
      </w:r>
    </w:p>
    <w:p w14:paraId="52358860" w14:textId="0C78A924" w:rsidR="00320309" w:rsidRPr="002B2507" w:rsidRDefault="00320309" w:rsidP="00320309">
      <w:pPr>
        <w:pStyle w:val="BodyText-VZT"/>
        <w:numPr>
          <w:ilvl w:val="0"/>
          <w:numId w:val="6"/>
        </w:numPr>
      </w:pPr>
      <w:r w:rsidRPr="002B2507">
        <w:t>Understand current trends in cost of goods (COGs) discounts</w:t>
      </w:r>
    </w:p>
    <w:p w14:paraId="53C0FF1F" w14:textId="77777777" w:rsidR="00320309" w:rsidRPr="00FD1BCB" w:rsidRDefault="00320309" w:rsidP="00320309">
      <w:pPr>
        <w:rPr>
          <w:rFonts w:cs="Arial"/>
          <w:b/>
          <w:color w:val="595959" w:themeColor="text1" w:themeTint="A6"/>
          <w:szCs w:val="20"/>
        </w:rPr>
      </w:pPr>
    </w:p>
    <w:p w14:paraId="7E1A58FE" w14:textId="77777777" w:rsidR="00320309" w:rsidRPr="00441C66" w:rsidRDefault="00320309" w:rsidP="00320309">
      <w:pPr>
        <w:rPr>
          <w:rFonts w:cs="Arial"/>
          <w:b/>
          <w:bCs/>
        </w:rPr>
      </w:pPr>
    </w:p>
    <w:p w14:paraId="53D511B1" w14:textId="77777777" w:rsidR="00320309" w:rsidRPr="00FD1BCB" w:rsidRDefault="00320309" w:rsidP="00320309">
      <w:pPr>
        <w:rPr>
          <w:rFonts w:cs="Arial"/>
          <w:b/>
          <w:bCs/>
          <w:szCs w:val="20"/>
        </w:rPr>
      </w:pPr>
      <w:r w:rsidRPr="00FD1BCB">
        <w:rPr>
          <w:rFonts w:cs="Arial"/>
          <w:b/>
          <w:color w:val="595959" w:themeColor="text1" w:themeTint="A6"/>
          <w:szCs w:val="20"/>
        </w:rPr>
        <w:t>8/11/2022 – Recent Changes in Cardiology Landscape</w:t>
      </w:r>
    </w:p>
    <w:p w14:paraId="19056865" w14:textId="77777777" w:rsidR="00320309" w:rsidRPr="00320309" w:rsidRDefault="00320309" w:rsidP="00320309">
      <w:pPr>
        <w:ind w:firstLine="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7D842328" w14:textId="30934F41" w:rsidR="00320309" w:rsidRPr="002B2507" w:rsidRDefault="00320309" w:rsidP="00320309">
      <w:pPr>
        <w:pStyle w:val="BodyText-VZT"/>
        <w:numPr>
          <w:ilvl w:val="0"/>
          <w:numId w:val="7"/>
        </w:numPr>
      </w:pPr>
      <w:r w:rsidRPr="002B2507">
        <w:t>Discuss updates in guidelines for heart failure</w:t>
      </w:r>
    </w:p>
    <w:p w14:paraId="5145B07D" w14:textId="1E54473C" w:rsidR="00320309" w:rsidRPr="002B2507" w:rsidRDefault="00320309" w:rsidP="00320309">
      <w:pPr>
        <w:pStyle w:val="BodyText-VZT"/>
        <w:numPr>
          <w:ilvl w:val="0"/>
          <w:numId w:val="7"/>
        </w:numPr>
      </w:pPr>
      <w:r w:rsidRPr="002B2507">
        <w:t>Discuss newly approved medications for heart failure</w:t>
      </w:r>
    </w:p>
    <w:p w14:paraId="79908818" w14:textId="223D7B60" w:rsidR="00320309" w:rsidRPr="002B2507" w:rsidRDefault="00320309" w:rsidP="00320309">
      <w:pPr>
        <w:pStyle w:val="BodyText-VZT"/>
        <w:numPr>
          <w:ilvl w:val="0"/>
          <w:numId w:val="7"/>
        </w:numPr>
      </w:pPr>
      <w:r w:rsidRPr="002B2507">
        <w:t>Provide an overview of medications that are in development/pipeline for heart failure</w:t>
      </w:r>
    </w:p>
    <w:p w14:paraId="38C1F502" w14:textId="2BB2DCA8" w:rsidR="00320309" w:rsidRPr="002B2507" w:rsidRDefault="00320309" w:rsidP="00320309">
      <w:pPr>
        <w:pStyle w:val="BodyText-VZT"/>
        <w:numPr>
          <w:ilvl w:val="0"/>
          <w:numId w:val="7"/>
        </w:numPr>
      </w:pPr>
      <w:r w:rsidRPr="002B2507">
        <w:t>Discuss the impact of heart failure guidelines changes and new approvals will have on health care spend, clinic operations and how it affects patients</w:t>
      </w:r>
    </w:p>
    <w:p w14:paraId="39C96B18" w14:textId="77777777" w:rsidR="00320309" w:rsidRPr="00441C66" w:rsidRDefault="00320309" w:rsidP="00320309">
      <w:pPr>
        <w:rPr>
          <w:rFonts w:cs="Arial"/>
          <w:b/>
          <w:bCs/>
          <w:szCs w:val="20"/>
        </w:rPr>
      </w:pPr>
    </w:p>
    <w:p w14:paraId="7F1E3A2D"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8/11/2022 – Optimizing Ambulatory and Outpatient Pharmacy Strategies</w:t>
      </w:r>
    </w:p>
    <w:p w14:paraId="3B58124C" w14:textId="07C7D727" w:rsidR="00320309" w:rsidRDefault="00320309" w:rsidP="00320309">
      <w:pPr>
        <w:ind w:left="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2863F8EF" w14:textId="286D9A1B" w:rsidR="00320309" w:rsidRPr="002B2507" w:rsidRDefault="00320309" w:rsidP="00320309">
      <w:pPr>
        <w:pStyle w:val="BodyText-VZT"/>
        <w:numPr>
          <w:ilvl w:val="0"/>
          <w:numId w:val="8"/>
        </w:numPr>
      </w:pPr>
      <w:r w:rsidRPr="002B2507">
        <w:t>Explain medication reimbursement processes in the ambulatory/outpatient setting.</w:t>
      </w:r>
    </w:p>
    <w:p w14:paraId="3EDFC560" w14:textId="627B1F53" w:rsidR="00320309" w:rsidRPr="002B2507" w:rsidRDefault="00320309" w:rsidP="00320309">
      <w:pPr>
        <w:pStyle w:val="BodyText-VZT"/>
        <w:numPr>
          <w:ilvl w:val="0"/>
          <w:numId w:val="8"/>
        </w:numPr>
      </w:pPr>
      <w:r w:rsidRPr="002B2507">
        <w:t>Identify strategies to embrace payer specialty infused drug Site of Care restrictions</w:t>
      </w:r>
    </w:p>
    <w:p w14:paraId="44CBC619" w14:textId="77777777" w:rsidR="00320309" w:rsidRPr="00441C66" w:rsidRDefault="00320309" w:rsidP="00320309">
      <w:pPr>
        <w:rPr>
          <w:rFonts w:cs="Arial"/>
          <w:b/>
          <w:bCs/>
          <w:szCs w:val="20"/>
        </w:rPr>
      </w:pPr>
    </w:p>
    <w:p w14:paraId="587B8FFC"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Current Challenges to Health-System Formulary Management</w:t>
      </w:r>
    </w:p>
    <w:p w14:paraId="3CC2B218" w14:textId="77777777" w:rsidR="00320309" w:rsidRPr="00320309" w:rsidRDefault="00320309" w:rsidP="00320309">
      <w:pPr>
        <w:ind w:left="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43AC7E99" w14:textId="77777777" w:rsidR="00320309" w:rsidRPr="002B2507" w:rsidRDefault="00320309" w:rsidP="00320309">
      <w:pPr>
        <w:pStyle w:val="BodyText-VZT"/>
        <w:ind w:left="1440"/>
      </w:pPr>
      <w:r w:rsidRPr="002B2507">
        <w:t>Describe the formulary process including:</w:t>
      </w:r>
    </w:p>
    <w:p w14:paraId="4B81924A" w14:textId="77777777" w:rsidR="00320309" w:rsidRPr="002B2507" w:rsidRDefault="00320309" w:rsidP="00320309">
      <w:pPr>
        <w:pStyle w:val="BodyText-VZT"/>
        <w:numPr>
          <w:ilvl w:val="0"/>
          <w:numId w:val="10"/>
        </w:numPr>
        <w:ind w:left="1800"/>
      </w:pPr>
      <w:r w:rsidRPr="002B2507">
        <w:t>Goals and functions of a well-managed formulary</w:t>
      </w:r>
    </w:p>
    <w:p w14:paraId="44D61180" w14:textId="77777777" w:rsidR="00320309" w:rsidRPr="002B2507" w:rsidRDefault="00320309" w:rsidP="00320309">
      <w:pPr>
        <w:pStyle w:val="BodyText-VZT"/>
        <w:numPr>
          <w:ilvl w:val="0"/>
          <w:numId w:val="10"/>
        </w:numPr>
        <w:ind w:left="1800"/>
      </w:pPr>
      <w:r w:rsidRPr="002B2507">
        <w:t>Formulary decision-making and management strategies</w:t>
      </w:r>
    </w:p>
    <w:p w14:paraId="636A3590" w14:textId="77777777" w:rsidR="00320309" w:rsidRPr="002B2507" w:rsidRDefault="00320309" w:rsidP="00320309">
      <w:pPr>
        <w:pStyle w:val="BodyText-VZT"/>
        <w:ind w:left="1440"/>
      </w:pPr>
      <w:r w:rsidRPr="002B2507">
        <w:t>Describe the impact of the following challenges to health-system formulary policy and management, and identify potential solutions to address each:</w:t>
      </w:r>
    </w:p>
    <w:p w14:paraId="7C95BBE3" w14:textId="77777777" w:rsidR="00320309" w:rsidRPr="002B2507" w:rsidRDefault="00320309" w:rsidP="00320309">
      <w:pPr>
        <w:pStyle w:val="BodyText-VZT"/>
        <w:numPr>
          <w:ilvl w:val="0"/>
          <w:numId w:val="9"/>
        </w:numPr>
        <w:ind w:left="1800"/>
      </w:pPr>
      <w:r w:rsidRPr="002B2507">
        <w:t>Drug Shortages</w:t>
      </w:r>
    </w:p>
    <w:p w14:paraId="1755E6DB" w14:textId="77777777" w:rsidR="00320309" w:rsidRPr="002B2507" w:rsidRDefault="00320309" w:rsidP="00320309">
      <w:pPr>
        <w:pStyle w:val="BodyText-VZT"/>
        <w:numPr>
          <w:ilvl w:val="0"/>
          <w:numId w:val="9"/>
        </w:numPr>
        <w:ind w:left="1800"/>
      </w:pPr>
      <w:r w:rsidRPr="002B2507">
        <w:t>Patient’s own medications</w:t>
      </w:r>
    </w:p>
    <w:p w14:paraId="55862EE8" w14:textId="77777777" w:rsidR="00320309" w:rsidRPr="002B2507" w:rsidRDefault="00320309" w:rsidP="00320309">
      <w:pPr>
        <w:pStyle w:val="BodyText-VZT"/>
        <w:numPr>
          <w:ilvl w:val="0"/>
          <w:numId w:val="9"/>
        </w:numPr>
        <w:ind w:left="1800"/>
      </w:pPr>
      <w:r w:rsidRPr="002B2507">
        <w:t>Multi-hospital health system formularies</w:t>
      </w:r>
    </w:p>
    <w:p w14:paraId="17C261D6" w14:textId="77777777" w:rsidR="00320309" w:rsidRPr="002B2507" w:rsidRDefault="00320309" w:rsidP="00320309">
      <w:pPr>
        <w:pStyle w:val="BodyText-VZT"/>
        <w:numPr>
          <w:ilvl w:val="0"/>
          <w:numId w:val="9"/>
        </w:numPr>
        <w:ind w:left="1800"/>
      </w:pPr>
      <w:r w:rsidRPr="002B2507">
        <w:t xml:space="preserve">Outpatient services </w:t>
      </w:r>
    </w:p>
    <w:p w14:paraId="17300345" w14:textId="77777777" w:rsidR="00320309" w:rsidRPr="002B2507" w:rsidRDefault="00320309" w:rsidP="00320309">
      <w:pPr>
        <w:pStyle w:val="BodyText-VZT"/>
        <w:numPr>
          <w:ilvl w:val="0"/>
          <w:numId w:val="9"/>
        </w:numPr>
        <w:ind w:left="1800"/>
      </w:pPr>
      <w:r w:rsidRPr="002B2507">
        <w:t>503B compounded therapies</w:t>
      </w:r>
    </w:p>
    <w:p w14:paraId="27FA2E35" w14:textId="77777777" w:rsidR="00320309" w:rsidRPr="002B2507" w:rsidRDefault="00320309" w:rsidP="00320309">
      <w:pPr>
        <w:pStyle w:val="BodyText-VZT"/>
        <w:numPr>
          <w:ilvl w:val="0"/>
          <w:numId w:val="9"/>
        </w:numPr>
        <w:ind w:left="1800"/>
      </w:pPr>
      <w:r w:rsidRPr="002B2507">
        <w:t>COVID-19 and unprecedented public health crises</w:t>
      </w:r>
    </w:p>
    <w:p w14:paraId="43CB6D50" w14:textId="77777777" w:rsidR="00320309" w:rsidRPr="002B2507" w:rsidRDefault="00320309" w:rsidP="00320309">
      <w:pPr>
        <w:pStyle w:val="BodyText-VZT"/>
        <w:ind w:left="1440"/>
      </w:pPr>
      <w:r w:rsidRPr="002B2507">
        <w:t>Explain the role of the Pharmacy Department, pharmacists, and other key stakeholders in the formulary decision-making and maintenance process.</w:t>
      </w:r>
    </w:p>
    <w:p w14:paraId="25FC3505" w14:textId="77777777" w:rsidR="00320309" w:rsidRPr="00441C66" w:rsidRDefault="00320309" w:rsidP="00320309">
      <w:pPr>
        <w:rPr>
          <w:rFonts w:cs="Arial"/>
          <w:b/>
          <w:bCs/>
          <w:szCs w:val="20"/>
        </w:rPr>
      </w:pPr>
    </w:p>
    <w:p w14:paraId="578ACD2B"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Pharmacy CDM and Denials Management – An Overview</w:t>
      </w:r>
    </w:p>
    <w:p w14:paraId="14371D4F" w14:textId="77777777" w:rsidR="00320309" w:rsidRPr="00320309" w:rsidRDefault="00320309" w:rsidP="00320309">
      <w:pPr>
        <w:ind w:left="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60C06F3F" w14:textId="0D41DDFA" w:rsidR="00320309" w:rsidRPr="002B2507" w:rsidRDefault="00320309" w:rsidP="00320309">
      <w:pPr>
        <w:pStyle w:val="BodyText-VZT"/>
        <w:ind w:left="1440"/>
        <w:rPr>
          <w:sz w:val="18"/>
          <w:szCs w:val="18"/>
        </w:rPr>
      </w:pPr>
      <w:r w:rsidRPr="002B2507">
        <w:rPr>
          <w:sz w:val="18"/>
          <w:szCs w:val="18"/>
        </w:rPr>
        <w:t>Describe the process and stakeholder engagement required for effective Pharmacy CDM management</w:t>
      </w:r>
    </w:p>
    <w:p w14:paraId="51789D6D" w14:textId="27035772" w:rsidR="00320309" w:rsidRPr="002B2507" w:rsidRDefault="00320309" w:rsidP="00320309">
      <w:pPr>
        <w:pStyle w:val="BodyText-VZT"/>
        <w:ind w:left="1440"/>
        <w:rPr>
          <w:sz w:val="18"/>
          <w:szCs w:val="18"/>
        </w:rPr>
      </w:pPr>
      <w:r w:rsidRPr="002B2507">
        <w:rPr>
          <w:sz w:val="18"/>
          <w:szCs w:val="18"/>
        </w:rPr>
        <w:t>Understand methodologies used to assess pharmacy reimbursement and denials</w:t>
      </w:r>
    </w:p>
    <w:p w14:paraId="1B3C3AC3" w14:textId="4BE18DA2" w:rsidR="00320309" w:rsidRPr="002B2507" w:rsidRDefault="00320309" w:rsidP="00320309">
      <w:pPr>
        <w:pStyle w:val="BodyText-VZT"/>
        <w:ind w:left="1440"/>
        <w:rPr>
          <w:sz w:val="18"/>
          <w:szCs w:val="18"/>
        </w:rPr>
      </w:pPr>
      <w:r w:rsidRPr="002B2507">
        <w:rPr>
          <w:sz w:val="18"/>
          <w:szCs w:val="18"/>
        </w:rPr>
        <w:t>Describe strategies to mitigate the risks of pharmacy denials associated with the prior authorization process</w:t>
      </w:r>
    </w:p>
    <w:p w14:paraId="36931283" w14:textId="77777777" w:rsidR="00320309" w:rsidRPr="00441C66" w:rsidRDefault="00320309" w:rsidP="00320309">
      <w:pPr>
        <w:rPr>
          <w:rFonts w:cs="Arial"/>
          <w:b/>
          <w:bCs/>
          <w:szCs w:val="20"/>
        </w:rPr>
      </w:pPr>
    </w:p>
    <w:p w14:paraId="433A0F8B"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New Kids on the Block: Pharmaceutical agents in the pipeline</w:t>
      </w:r>
    </w:p>
    <w:bookmarkEnd w:id="3"/>
    <w:p w14:paraId="216C2A54" w14:textId="77777777" w:rsidR="00320309" w:rsidRPr="00320309" w:rsidRDefault="00320309" w:rsidP="00320309">
      <w:pPr>
        <w:ind w:left="720"/>
        <w:rPr>
          <w:rFonts w:cs="Arial"/>
          <w:bCs/>
          <w:color w:val="595959" w:themeColor="text1" w:themeTint="A6"/>
          <w:szCs w:val="20"/>
        </w:rPr>
      </w:pPr>
      <w:r w:rsidRPr="00320309">
        <w:rPr>
          <w:rFonts w:cs="Arial"/>
          <w:bCs/>
          <w:color w:val="595959" w:themeColor="text1" w:themeTint="A6"/>
          <w:szCs w:val="20"/>
        </w:rPr>
        <w:t>At the conclusion of the activity participants should be able to:</w:t>
      </w:r>
    </w:p>
    <w:p w14:paraId="2DB847DB" w14:textId="77777777" w:rsidR="00320309" w:rsidRPr="002B2507" w:rsidRDefault="00320309" w:rsidP="00320309">
      <w:pPr>
        <w:pStyle w:val="BodyText-VZT"/>
        <w:ind w:left="1440"/>
        <w:rPr>
          <w:rFonts w:eastAsia="Calibri"/>
          <w:color w:val="696969" w:themeColor="text2"/>
          <w:sz w:val="18"/>
          <w:szCs w:val="18"/>
        </w:rPr>
      </w:pPr>
      <w:r w:rsidRPr="002B2507">
        <w:rPr>
          <w:sz w:val="18"/>
          <w:szCs w:val="18"/>
        </w:rPr>
        <w:t>Understand Vizient’s process for monitoring the pharmacy pipeline</w:t>
      </w:r>
    </w:p>
    <w:p w14:paraId="11A95A87" w14:textId="77777777" w:rsidR="00320309" w:rsidRPr="002B2507" w:rsidRDefault="00320309" w:rsidP="00320309">
      <w:pPr>
        <w:pStyle w:val="BodyText-VZT"/>
        <w:ind w:left="1440"/>
        <w:rPr>
          <w:sz w:val="18"/>
          <w:szCs w:val="18"/>
        </w:rPr>
      </w:pPr>
      <w:r w:rsidRPr="002B2507">
        <w:rPr>
          <w:sz w:val="18"/>
          <w:szCs w:val="18"/>
        </w:rPr>
        <w:lastRenderedPageBreak/>
        <w:t>Identify clinically impactful late-phase pharmacy pipeline products</w:t>
      </w:r>
    </w:p>
    <w:p w14:paraId="2D4197DE" w14:textId="77777777" w:rsidR="00320309" w:rsidRDefault="00320309" w:rsidP="00155E54">
      <w:pPr>
        <w:rPr>
          <w:rFonts w:cs="Arial"/>
          <w:noProof/>
          <w:szCs w:val="20"/>
        </w:rPr>
      </w:pPr>
    </w:p>
    <w:p w14:paraId="6CC5B654" w14:textId="77777777" w:rsidR="00320309" w:rsidRDefault="00320309" w:rsidP="00155E54">
      <w:pPr>
        <w:rPr>
          <w:rFonts w:cs="Arial"/>
          <w:noProof/>
          <w:szCs w:val="20"/>
        </w:rPr>
      </w:pPr>
    </w:p>
    <w:p w14:paraId="64CB3132" w14:textId="77777777" w:rsidR="00320309" w:rsidRDefault="00320309" w:rsidP="00155E54">
      <w:pPr>
        <w:rPr>
          <w:rFonts w:cs="Arial"/>
          <w:noProof/>
          <w:szCs w:val="20"/>
        </w:rPr>
      </w:pPr>
    </w:p>
    <w:p w14:paraId="4BD73991" w14:textId="77F09D30"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3F6CF9F3" w14:textId="77777777" w:rsidR="00320309" w:rsidRPr="00FD1BCB" w:rsidRDefault="00320309" w:rsidP="00320309">
      <w:pPr>
        <w:rPr>
          <w:rFonts w:cs="Arial"/>
          <w:b/>
          <w:color w:val="595959" w:themeColor="text1" w:themeTint="A6"/>
          <w:szCs w:val="20"/>
        </w:rPr>
      </w:pPr>
      <w:bookmarkStart w:id="4" w:name="_Hlk107495693"/>
      <w:r w:rsidRPr="00FD1BCB">
        <w:rPr>
          <w:rFonts w:cs="Arial"/>
          <w:b/>
          <w:color w:val="595959" w:themeColor="text1" w:themeTint="A6"/>
          <w:szCs w:val="20"/>
        </w:rPr>
        <w:t xml:space="preserve">8/11/2022 – Understanding Pharmacy Distribution Economics - Keys to Effective Contract Negotiations </w:t>
      </w:r>
    </w:p>
    <w:p w14:paraId="52BDBF2F"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545C5B18"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p w14:paraId="075E0C93" w14:textId="77777777" w:rsidR="00FC6F73" w:rsidRPr="00FC6F73" w:rsidRDefault="00FC6F73" w:rsidP="00FC6F73">
      <w:pPr>
        <w:pStyle w:val="BodyText1"/>
        <w:ind w:left="720"/>
      </w:pPr>
      <w:r w:rsidRPr="00FC6F73">
        <w:t>UAN JA0006103-0000-22-041-L04-P</w:t>
      </w:r>
    </w:p>
    <w:p w14:paraId="3360A99C" w14:textId="77777777" w:rsidR="00320309" w:rsidRPr="00441C66" w:rsidRDefault="00320309" w:rsidP="00320309">
      <w:pPr>
        <w:rPr>
          <w:rFonts w:cs="Arial"/>
          <w:b/>
          <w:bCs/>
        </w:rPr>
      </w:pPr>
    </w:p>
    <w:p w14:paraId="1E57A728" w14:textId="77777777" w:rsidR="00320309" w:rsidRPr="00FD1BCB" w:rsidRDefault="00320309" w:rsidP="00320309">
      <w:pPr>
        <w:rPr>
          <w:rFonts w:cs="Arial"/>
          <w:b/>
          <w:bCs/>
          <w:szCs w:val="20"/>
        </w:rPr>
      </w:pPr>
      <w:r w:rsidRPr="00FD1BCB">
        <w:rPr>
          <w:rFonts w:cs="Arial"/>
          <w:b/>
          <w:color w:val="595959" w:themeColor="text1" w:themeTint="A6"/>
          <w:szCs w:val="20"/>
        </w:rPr>
        <w:t>8/11/2022 – Recent Changes in Cardiology Landscape</w:t>
      </w:r>
    </w:p>
    <w:p w14:paraId="23B46913"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5B2FB293"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p w14:paraId="481C6F0D" w14:textId="77777777" w:rsidR="00FC6F73" w:rsidRPr="00FC6F73" w:rsidRDefault="00FC6F73" w:rsidP="00FC6F73">
      <w:pPr>
        <w:pStyle w:val="BodyText1"/>
        <w:ind w:left="720"/>
      </w:pPr>
      <w:r w:rsidRPr="00FC6F73">
        <w:t>UAN JA0006103-0000-22-043-L04-P</w:t>
      </w:r>
    </w:p>
    <w:p w14:paraId="45010D49" w14:textId="77777777" w:rsidR="00320309" w:rsidRPr="00441C66" w:rsidRDefault="00320309" w:rsidP="00320309">
      <w:pPr>
        <w:rPr>
          <w:rFonts w:cs="Arial"/>
          <w:b/>
          <w:bCs/>
          <w:szCs w:val="20"/>
        </w:rPr>
      </w:pPr>
    </w:p>
    <w:p w14:paraId="54677DBD"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8/11/2022 – Optimizing Ambulatory and Outpatient Pharmacy Strategies</w:t>
      </w:r>
    </w:p>
    <w:p w14:paraId="214F9BCC"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06189650"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p w14:paraId="0F4A72FF" w14:textId="77777777" w:rsidR="00FC6F73" w:rsidRPr="00FC6F73" w:rsidRDefault="00FC6F73" w:rsidP="00FC6F73">
      <w:pPr>
        <w:pStyle w:val="BodyText1"/>
        <w:ind w:left="720"/>
      </w:pPr>
      <w:r w:rsidRPr="00FC6F73">
        <w:t>UAN JA0006103-0000-22-044-L04-P</w:t>
      </w:r>
    </w:p>
    <w:p w14:paraId="77117821" w14:textId="77777777" w:rsidR="00320309" w:rsidRPr="00441C66" w:rsidRDefault="00320309" w:rsidP="00320309">
      <w:pPr>
        <w:rPr>
          <w:rFonts w:cs="Arial"/>
          <w:b/>
          <w:bCs/>
          <w:szCs w:val="20"/>
        </w:rPr>
      </w:pPr>
    </w:p>
    <w:p w14:paraId="743A8731"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Current Challenges to Health-System Formulary Management</w:t>
      </w:r>
    </w:p>
    <w:p w14:paraId="046150B9"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24628EAB"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p w14:paraId="2F584084" w14:textId="77777777" w:rsidR="00FC6F73" w:rsidRPr="00FC6F73" w:rsidRDefault="00FC6F73" w:rsidP="00FC6F73">
      <w:pPr>
        <w:pStyle w:val="BodyText1"/>
        <w:ind w:left="720"/>
      </w:pPr>
      <w:r w:rsidRPr="00FC6F73">
        <w:t>UAN JA0006103-0000-22-045-L04-P</w:t>
      </w:r>
    </w:p>
    <w:p w14:paraId="70C9EB08" w14:textId="77777777" w:rsidR="00320309" w:rsidRPr="00441C66" w:rsidRDefault="00320309" w:rsidP="00320309">
      <w:pPr>
        <w:rPr>
          <w:rFonts w:cs="Arial"/>
          <w:b/>
          <w:bCs/>
          <w:szCs w:val="20"/>
        </w:rPr>
      </w:pPr>
    </w:p>
    <w:p w14:paraId="0D4A93C3"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Pharmacy CDM and Denials Management – An Overview</w:t>
      </w:r>
    </w:p>
    <w:p w14:paraId="01134B14"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5C33EA52"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p w14:paraId="28CB8365" w14:textId="77777777" w:rsidR="00FC6F73" w:rsidRPr="00FC6F73" w:rsidRDefault="00FC6F73" w:rsidP="00FC6F73">
      <w:pPr>
        <w:pStyle w:val="BodyText1"/>
        <w:ind w:left="720"/>
      </w:pPr>
      <w:r w:rsidRPr="00FC6F73">
        <w:t>UAN JA0006103-0000-22-046-L04-P</w:t>
      </w:r>
    </w:p>
    <w:p w14:paraId="019DB959" w14:textId="77777777" w:rsidR="00320309" w:rsidRPr="00441C66" w:rsidRDefault="00320309" w:rsidP="00320309">
      <w:pPr>
        <w:rPr>
          <w:rFonts w:cs="Arial"/>
          <w:b/>
          <w:bCs/>
          <w:szCs w:val="20"/>
        </w:rPr>
      </w:pPr>
    </w:p>
    <w:p w14:paraId="1ADC2C74" w14:textId="77777777" w:rsidR="00320309" w:rsidRPr="00FD1BCB" w:rsidRDefault="00320309" w:rsidP="00320309">
      <w:pPr>
        <w:rPr>
          <w:rFonts w:cs="Arial"/>
          <w:b/>
          <w:color w:val="595959" w:themeColor="text1" w:themeTint="A6"/>
          <w:szCs w:val="20"/>
        </w:rPr>
      </w:pPr>
      <w:r w:rsidRPr="00FD1BCB">
        <w:rPr>
          <w:rFonts w:cs="Arial"/>
          <w:b/>
          <w:color w:val="595959" w:themeColor="text1" w:themeTint="A6"/>
          <w:szCs w:val="20"/>
        </w:rPr>
        <w:t>8/12/2022 – New Kids on the Block: Pharmaceutical agents in the pipeline</w:t>
      </w:r>
    </w:p>
    <w:p w14:paraId="0BA21C90" w14:textId="77777777" w:rsidR="00320309" w:rsidRDefault="00320309" w:rsidP="00320309">
      <w:pPr>
        <w:pStyle w:val="Heading4"/>
        <w:ind w:left="720"/>
        <w:rPr>
          <w:rFonts w:cs="Arial"/>
          <w:color w:val="595959" w:themeColor="text1" w:themeTint="A6"/>
        </w:rPr>
      </w:pPr>
      <w:r>
        <w:rPr>
          <w:rFonts w:cs="Arial"/>
          <w:color w:val="595959" w:themeColor="text1" w:themeTint="A6"/>
        </w:rPr>
        <w:t>PHARMACY</w:t>
      </w:r>
    </w:p>
    <w:p w14:paraId="652E64B0" w14:textId="77777777" w:rsidR="00320309" w:rsidRDefault="00320309" w:rsidP="00320309">
      <w:pPr>
        <w:ind w:left="720"/>
        <w:rPr>
          <w:rFonts w:cs="Arial"/>
          <w:color w:val="595959" w:themeColor="text1" w:themeTint="A6"/>
        </w:rPr>
      </w:pPr>
      <w:r>
        <w:rPr>
          <w:rFonts w:cs="Arial"/>
          <w:color w:val="595959" w:themeColor="text1" w:themeTint="A6"/>
        </w:rPr>
        <w:t xml:space="preserve">Vizient, Inc. designates this activity for a maximum of 1.00 ACPE credit hours. </w:t>
      </w:r>
    </w:p>
    <w:bookmarkEnd w:id="4"/>
    <w:p w14:paraId="2EE5E90D" w14:textId="77777777" w:rsidR="00FC6F73" w:rsidRPr="00FC6F73" w:rsidRDefault="00FC6F73" w:rsidP="00FC6F73">
      <w:pPr>
        <w:ind w:left="720"/>
        <w:rPr>
          <w:rFonts w:cs="Arial"/>
          <w:color w:val="595959" w:themeColor="text1" w:themeTint="A6"/>
        </w:rPr>
      </w:pPr>
      <w:r w:rsidRPr="00FC6F73">
        <w:rPr>
          <w:rFonts w:cs="Arial"/>
          <w:color w:val="595959" w:themeColor="text1" w:themeTint="A6"/>
        </w:rPr>
        <w:t>UAN JA0006103-0000-22-047-L04-P</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lastRenderedPageBreak/>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179AC0F0" w14:textId="2BA0D93F" w:rsidR="007A1399" w:rsidRPr="007A1399" w:rsidRDefault="007A1399" w:rsidP="00A101D7">
      <w:pPr>
        <w:spacing w:before="120" w:after="120" w:line="259" w:lineRule="auto"/>
        <w:contextualSpacing/>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26E86F9C" w14:textId="730CC393" w:rsidR="007A1399" w:rsidRDefault="007A1399" w:rsidP="007A1399">
      <w:pPr>
        <w:spacing w:after="160" w:line="259" w:lineRule="auto"/>
        <w:rPr>
          <w:rFonts w:eastAsia="Calibri" w:cs="Arial"/>
          <w:b/>
          <w:bCs/>
          <w:color w:val="040404"/>
          <w:sz w:val="24"/>
          <w:shd w:val="clear" w:color="auto" w:fill="FFFFFF"/>
        </w:rPr>
      </w:pPr>
    </w:p>
    <w:p w14:paraId="4BB7DD8E" w14:textId="77AE7395" w:rsidR="00A101D7" w:rsidRPr="00320309" w:rsidRDefault="00A101D7" w:rsidP="00320309">
      <w:pPr>
        <w:spacing w:before="120" w:after="120" w:line="259" w:lineRule="auto"/>
        <w:contextualSpacing/>
        <w:rPr>
          <w:rFonts w:eastAsia="Calibri" w:cs="Arial"/>
          <w:b/>
          <w:color w:val="696969" w:themeColor="accent6"/>
          <w:szCs w:val="20"/>
        </w:rPr>
      </w:pPr>
      <w:r w:rsidRPr="00320309">
        <w:rPr>
          <w:rFonts w:eastAsia="Calibri" w:cs="Arial"/>
          <w:b/>
          <w:color w:val="696969" w:themeColor="accent6"/>
          <w:szCs w:val="20"/>
        </w:rPr>
        <w:t>Faculty/Presenters</w:t>
      </w:r>
    </w:p>
    <w:p w14:paraId="6D81D211"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Randy </w:t>
      </w:r>
      <w:proofErr w:type="spellStart"/>
      <w:r w:rsidRPr="00320309">
        <w:rPr>
          <w:rFonts w:eastAsia="Calibri" w:cs="Arial"/>
          <w:bCs/>
          <w:color w:val="696969" w:themeColor="accent6"/>
          <w:szCs w:val="20"/>
        </w:rPr>
        <w:t>Gerwitz</w:t>
      </w:r>
      <w:proofErr w:type="spellEnd"/>
      <w:r w:rsidRPr="00320309">
        <w:rPr>
          <w:rFonts w:eastAsia="Calibri" w:cs="Arial"/>
          <w:bCs/>
          <w:color w:val="696969" w:themeColor="accent6"/>
          <w:szCs w:val="20"/>
        </w:rPr>
        <w:t>, RPh</w:t>
      </w:r>
    </w:p>
    <w:p w14:paraId="2864CE4A"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Senior Consulting Solutions Director</w:t>
      </w:r>
    </w:p>
    <w:p w14:paraId="3E4AA6F4"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50F3AFB6"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2FA8C77D"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Shannon Holden, PharmD, BCACP</w:t>
      </w:r>
    </w:p>
    <w:p w14:paraId="78F9CF3D"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Sr Clinical Manager</w:t>
      </w:r>
    </w:p>
    <w:p w14:paraId="22904648"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13E4FA05"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52585EB1"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Steve Kennedy, PharmD, CSP</w:t>
      </w:r>
    </w:p>
    <w:p w14:paraId="23359414"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Executive Pharmacy Director</w:t>
      </w:r>
    </w:p>
    <w:p w14:paraId="597E8CB2"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66E862CD"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7C234004"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Mark </w:t>
      </w:r>
      <w:proofErr w:type="spellStart"/>
      <w:r w:rsidRPr="00320309">
        <w:rPr>
          <w:rFonts w:eastAsia="Calibri" w:cs="Arial"/>
          <w:bCs/>
          <w:color w:val="696969" w:themeColor="accent6"/>
          <w:szCs w:val="20"/>
        </w:rPr>
        <w:t>Ninno</w:t>
      </w:r>
      <w:proofErr w:type="spellEnd"/>
      <w:r w:rsidRPr="00320309">
        <w:rPr>
          <w:rFonts w:eastAsia="Calibri" w:cs="Arial"/>
          <w:bCs/>
          <w:color w:val="696969" w:themeColor="accent6"/>
          <w:szCs w:val="20"/>
        </w:rPr>
        <w:t>, PharmD</w:t>
      </w:r>
    </w:p>
    <w:p w14:paraId="6F5BC8B8"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Senior Consulting Solutions Director</w:t>
      </w:r>
    </w:p>
    <w:p w14:paraId="2F303102"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66D4DE6F"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0F6637D2"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Steven Harris, PharmD</w:t>
      </w:r>
    </w:p>
    <w:p w14:paraId="5F78318E"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Consulting Director, Pharmacy</w:t>
      </w:r>
    </w:p>
    <w:p w14:paraId="2111EC41"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47A14105"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10483AA1"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lastRenderedPageBreak/>
        <w:t>Steven Schreiner</w:t>
      </w:r>
    </w:p>
    <w:p w14:paraId="3DFDF5D9"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Senior Consultant</w:t>
      </w:r>
    </w:p>
    <w:p w14:paraId="52CD6AFC"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2D8E27A1"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41931C69"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Amanda Frick, PharmD, BCPS</w:t>
      </w:r>
    </w:p>
    <w:p w14:paraId="43B5C894"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Sr. Clinical Manager</w:t>
      </w:r>
    </w:p>
    <w:p w14:paraId="2FDCA6D7"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3EF94E1D"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33544542" w14:textId="5A63F7F0" w:rsidR="00542332" w:rsidRPr="00320309" w:rsidRDefault="00542332" w:rsidP="00320309">
      <w:pPr>
        <w:spacing w:before="120" w:after="120" w:line="259" w:lineRule="auto"/>
        <w:contextualSpacing/>
        <w:rPr>
          <w:rFonts w:eastAsia="Calibri" w:cs="Arial"/>
          <w:b/>
          <w:color w:val="696969" w:themeColor="accent6"/>
          <w:szCs w:val="20"/>
        </w:rPr>
      </w:pPr>
      <w:r w:rsidRPr="00320309">
        <w:rPr>
          <w:rFonts w:eastAsia="Calibri" w:cs="Arial"/>
          <w:b/>
          <w:color w:val="696969" w:themeColor="accent6"/>
          <w:szCs w:val="20"/>
        </w:rPr>
        <w:t>Planners</w:t>
      </w:r>
    </w:p>
    <w:p w14:paraId="4E3C8573" w14:textId="77777777" w:rsidR="00542332" w:rsidRPr="00320309" w:rsidRDefault="00542332" w:rsidP="00320309">
      <w:pPr>
        <w:spacing w:before="120" w:after="120" w:line="259" w:lineRule="auto"/>
        <w:contextualSpacing/>
        <w:rPr>
          <w:rFonts w:eastAsia="Calibri" w:cs="Arial"/>
          <w:bCs/>
          <w:color w:val="696969" w:themeColor="accent6"/>
          <w:szCs w:val="20"/>
        </w:rPr>
      </w:pPr>
      <w:proofErr w:type="spellStart"/>
      <w:r w:rsidRPr="00320309">
        <w:rPr>
          <w:rFonts w:eastAsia="Calibri" w:cs="Arial"/>
          <w:bCs/>
          <w:color w:val="696969" w:themeColor="accent6"/>
          <w:szCs w:val="20"/>
        </w:rPr>
        <w:t>Alpi</w:t>
      </w:r>
      <w:proofErr w:type="spellEnd"/>
      <w:r w:rsidRPr="00320309">
        <w:rPr>
          <w:rFonts w:eastAsia="Calibri" w:cs="Arial"/>
          <w:bCs/>
          <w:color w:val="696969" w:themeColor="accent6"/>
          <w:szCs w:val="20"/>
        </w:rPr>
        <w:t xml:space="preserve"> Gandhi, PharmD, BCPS</w:t>
      </w:r>
    </w:p>
    <w:p w14:paraId="02D86CC4"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Pharmacy Executive Director</w:t>
      </w:r>
    </w:p>
    <w:p w14:paraId="43D14277"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 xml:space="preserve">Vizient, Inc. </w:t>
      </w:r>
    </w:p>
    <w:p w14:paraId="4DEFAFF7" w14:textId="77777777" w:rsidR="00542332" w:rsidRPr="00320309" w:rsidRDefault="00542332" w:rsidP="00320309">
      <w:pPr>
        <w:spacing w:before="120" w:after="120" w:line="259" w:lineRule="auto"/>
        <w:contextualSpacing/>
        <w:rPr>
          <w:rFonts w:eastAsia="Calibri" w:cs="Arial"/>
          <w:bCs/>
          <w:color w:val="696969" w:themeColor="accent6"/>
          <w:szCs w:val="20"/>
        </w:rPr>
      </w:pPr>
    </w:p>
    <w:p w14:paraId="7F3E7450"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Cindi Edmonson</w:t>
      </w:r>
    </w:p>
    <w:p w14:paraId="1A011C3F"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Networks Manager</w:t>
      </w:r>
    </w:p>
    <w:p w14:paraId="37A5680A" w14:textId="77777777" w:rsidR="00542332" w:rsidRPr="00320309" w:rsidRDefault="00542332" w:rsidP="00320309">
      <w:pPr>
        <w:spacing w:before="120" w:after="120" w:line="259" w:lineRule="auto"/>
        <w:contextualSpacing/>
        <w:rPr>
          <w:rFonts w:eastAsia="Calibri" w:cs="Arial"/>
          <w:bCs/>
          <w:color w:val="696969" w:themeColor="accent6"/>
          <w:szCs w:val="20"/>
        </w:rPr>
      </w:pPr>
      <w:r w:rsidRPr="00320309">
        <w:rPr>
          <w:rFonts w:eastAsia="Calibri" w:cs="Arial"/>
          <w:bCs/>
          <w:color w:val="696969" w:themeColor="accent6"/>
          <w:szCs w:val="20"/>
        </w:rPr>
        <w:t>Vizient, Inc.</w:t>
      </w:r>
    </w:p>
    <w:sectPr w:rsidR="00542332" w:rsidRPr="0032030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638"/>
    <w:multiLevelType w:val="hybridMultilevel"/>
    <w:tmpl w:val="3616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B5618"/>
    <w:multiLevelType w:val="hybridMultilevel"/>
    <w:tmpl w:val="5FE663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D7E93"/>
    <w:multiLevelType w:val="hybridMultilevel"/>
    <w:tmpl w:val="29F85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336BF"/>
    <w:multiLevelType w:val="hybridMultilevel"/>
    <w:tmpl w:val="FE3E1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6"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30FD"/>
    <w:multiLevelType w:val="hybridMultilevel"/>
    <w:tmpl w:val="36223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A2279F4"/>
    <w:multiLevelType w:val="hybridMultilevel"/>
    <w:tmpl w:val="5838C5DC"/>
    <w:lvl w:ilvl="0" w:tplc="FF76DF46">
      <w:start w:val="1"/>
      <w:numFmt w:val="bullet"/>
      <w:pStyle w:val="BodyText-VZ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6"/>
  </w:num>
  <w:num w:numId="5">
    <w:abstractNumId w:val="4"/>
  </w:num>
  <w:num w:numId="6">
    <w:abstractNumId w:val="0"/>
  </w:num>
  <w:num w:numId="7">
    <w:abstractNumId w:val="7"/>
  </w:num>
  <w:num w:numId="8">
    <w:abstractNumId w:val="2"/>
  </w:num>
  <w:num w:numId="9">
    <w:abstractNumId w:val="1"/>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0309"/>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33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101D7"/>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BF555B"/>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C6F73"/>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320309"/>
    <w:rPr>
      <w:rFonts w:ascii="Arial" w:hAnsi="Arial" w:cs="Arial"/>
      <w:color w:val="696969"/>
      <w:sz w:val="20"/>
      <w:szCs w:val="20"/>
    </w:rPr>
  </w:style>
  <w:style w:type="paragraph" w:customStyle="1" w:styleId="BodyText-VZT">
    <w:name w:val="Body Text-VZT"/>
    <w:link w:val="BodyText-VZTChar"/>
    <w:autoRedefine/>
    <w:qFormat/>
    <w:rsid w:val="00320309"/>
    <w:pPr>
      <w:numPr>
        <w:numId w:val="11"/>
      </w:numPr>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405">
      <w:bodyDiv w:val="1"/>
      <w:marLeft w:val="0"/>
      <w:marRight w:val="0"/>
      <w:marTop w:val="0"/>
      <w:marBottom w:val="0"/>
      <w:divBdr>
        <w:top w:val="none" w:sz="0" w:space="0" w:color="auto"/>
        <w:left w:val="none" w:sz="0" w:space="0" w:color="auto"/>
        <w:bottom w:val="none" w:sz="0" w:space="0" w:color="auto"/>
        <w:right w:val="none" w:sz="0" w:space="0" w:color="auto"/>
      </w:divBdr>
    </w:div>
    <w:div w:id="621377872">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4186363">
      <w:bodyDiv w:val="1"/>
      <w:marLeft w:val="0"/>
      <w:marRight w:val="0"/>
      <w:marTop w:val="0"/>
      <w:marBottom w:val="0"/>
      <w:divBdr>
        <w:top w:val="none" w:sz="0" w:space="0" w:color="auto"/>
        <w:left w:val="none" w:sz="0" w:space="0" w:color="auto"/>
        <w:bottom w:val="none" w:sz="0" w:space="0" w:color="auto"/>
        <w:right w:val="none" w:sz="0" w:space="0" w:color="auto"/>
      </w:divBdr>
    </w:div>
    <w:div w:id="1534730081">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805192594">
      <w:bodyDiv w:val="1"/>
      <w:marLeft w:val="0"/>
      <w:marRight w:val="0"/>
      <w:marTop w:val="0"/>
      <w:marBottom w:val="0"/>
      <w:divBdr>
        <w:top w:val="none" w:sz="0" w:space="0" w:color="auto"/>
        <w:left w:val="none" w:sz="0" w:space="0" w:color="auto"/>
        <w:bottom w:val="none" w:sz="0" w:space="0" w:color="auto"/>
        <w:right w:val="none" w:sz="0" w:space="0" w:color="auto"/>
      </w:divBdr>
    </w:div>
    <w:div w:id="1812987946">
      <w:bodyDiv w:val="1"/>
      <w:marLeft w:val="0"/>
      <w:marRight w:val="0"/>
      <w:marTop w:val="0"/>
      <w:marBottom w:val="0"/>
      <w:divBdr>
        <w:top w:val="none" w:sz="0" w:space="0" w:color="auto"/>
        <w:left w:val="none" w:sz="0" w:space="0" w:color="auto"/>
        <w:bottom w:val="none" w:sz="0" w:space="0" w:color="auto"/>
        <w:right w:val="none" w:sz="0" w:space="0" w:color="auto"/>
      </w:divBdr>
    </w:div>
    <w:div w:id="1838498674">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SourceDataModel Name="AD_HOC" TargetDataSourceId="80be7e5f-6e71-448c-9228-23264555308c"/>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SourceDataModel Name="Computed" TargetDataSourceId="87651697-ca1f-4d80-9f69-bb743e325714"/>
</file>

<file path=customXml/item18.xml><?xml version="1.0" encoding="utf-8"?>
<AllExternalAdhocVariableMappings/>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UsageMapping/>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ocPartTree/>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llWordPDs>
</AllWordPD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AllMetadata/>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SourceDataModel Name="System" TargetDataSourceId="00b80028-d226-4a39-9a19-6787589aad19"/>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48</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4</cp:revision>
  <cp:lastPrinted>2015-12-22T16:01:00Z</cp:lastPrinted>
  <dcterms:created xsi:type="dcterms:W3CDTF">2022-06-30T19:43:00Z</dcterms:created>
  <dcterms:modified xsi:type="dcterms:W3CDTF">2022-07-01T11:48:00Z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