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E75920" w14:textId="77777777" w:rsidR="00941B4D" w:rsidRDefault="00941B4D" w:rsidP="004A294A">
      <w:pPr>
        <w:pStyle w:val="BodyText1"/>
        <w:rPr>
          <w:rFonts w:eastAsiaTheme="majorEastAsia" w:cstheme="majorBidi"/>
          <w:b/>
          <w:bCs/>
          <w:color w:val="01ADAB" w:themeColor="accent4"/>
          <w:sz w:val="28"/>
          <w:szCs w:val="28"/>
        </w:rPr>
      </w:pPr>
      <w:r w:rsidRPr="00941B4D">
        <w:rPr>
          <w:rFonts w:eastAsiaTheme="majorEastAsia" w:cstheme="majorBidi"/>
          <w:b/>
          <w:bCs/>
          <w:color w:val="01ADAB" w:themeColor="accent4"/>
          <w:sz w:val="28"/>
          <w:szCs w:val="28"/>
        </w:rPr>
        <w:t>2022 Fundamental Accreditation Series: Human Resources Competency</w:t>
      </w:r>
    </w:p>
    <w:p w14:paraId="0D0DC3CD" w14:textId="16B5A77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41B4D">
        <w:rPr>
          <w:color w:val="595959" w:themeColor="text1" w:themeTint="A6"/>
        </w:rPr>
        <w:t>July 11, 2022</w:t>
      </w:r>
    </w:p>
    <w:p w14:paraId="641D3E3A" w14:textId="3113531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9086F">
        <w:rPr>
          <w:color w:val="595959" w:themeColor="text1" w:themeTint="A6"/>
        </w:rPr>
        <w:t>Natalie Webb</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725F23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41B4D">
        <w:rPr>
          <w:rFonts w:cs="Arial"/>
          <w:b/>
          <w:color w:val="595959" w:themeColor="text1" w:themeTint="A6"/>
          <w:szCs w:val="20"/>
        </w:rPr>
        <w:t>August 25</w:t>
      </w:r>
      <w:r w:rsidR="00C9086F">
        <w:rPr>
          <w:rFonts w:cs="Arial"/>
          <w:b/>
          <w:color w:val="595959" w:themeColor="text1" w:themeTint="A6"/>
          <w:szCs w:val="20"/>
        </w:rPr>
        <w:t>,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9B6E10D" w14:textId="77777777" w:rsidR="00941B4D" w:rsidRPr="00941B4D" w:rsidRDefault="00941B4D" w:rsidP="00941B4D">
      <w:pPr>
        <w:spacing w:before="100" w:beforeAutospacing="1" w:after="100" w:afterAutospacing="1"/>
        <w:rPr>
          <w:rFonts w:ascii="Times New Roman" w:eastAsia="Times New Roman" w:hAnsi="Times New Roman" w:cs="Times New Roman"/>
          <w:sz w:val="24"/>
        </w:rPr>
      </w:pPr>
      <w:r w:rsidRPr="00941B4D">
        <w:rPr>
          <w:rFonts w:eastAsia="Times New Roman" w:cs="Arial"/>
          <w:color w:val="696969"/>
          <w:szCs w:val="20"/>
        </w:rPr>
        <w:t>At the conclusion of this activity participants should be able to:</w:t>
      </w:r>
    </w:p>
    <w:p w14:paraId="47E4740F" w14:textId="77777777" w:rsidR="00941B4D" w:rsidRPr="00941B4D" w:rsidRDefault="00941B4D" w:rsidP="00941B4D">
      <w:pPr>
        <w:numPr>
          <w:ilvl w:val="0"/>
          <w:numId w:val="49"/>
        </w:numPr>
        <w:spacing w:before="100" w:beforeAutospacing="1" w:after="100" w:afterAutospacing="1"/>
        <w:rPr>
          <w:rFonts w:ascii="Times New Roman" w:eastAsia="Times New Roman" w:hAnsi="Times New Roman" w:cs="Times New Roman"/>
          <w:sz w:val="24"/>
        </w:rPr>
      </w:pPr>
      <w:r w:rsidRPr="00941B4D">
        <w:rPr>
          <w:rFonts w:eastAsia="Times New Roman" w:cs="Arial"/>
          <w:color w:val="696969"/>
          <w:szCs w:val="20"/>
        </w:rPr>
        <w:t>Identify one expectation of regulatory / accreditation requirements for competency</w:t>
      </w:r>
    </w:p>
    <w:p w14:paraId="2245301A" w14:textId="77777777" w:rsidR="00941B4D" w:rsidRPr="00941B4D" w:rsidRDefault="00941B4D" w:rsidP="00941B4D">
      <w:pPr>
        <w:numPr>
          <w:ilvl w:val="0"/>
          <w:numId w:val="49"/>
        </w:numPr>
        <w:spacing w:before="100" w:beforeAutospacing="1" w:after="100" w:afterAutospacing="1"/>
        <w:rPr>
          <w:rFonts w:ascii="Times New Roman" w:eastAsia="Times New Roman" w:hAnsi="Times New Roman" w:cs="Times New Roman"/>
          <w:sz w:val="24"/>
        </w:rPr>
      </w:pPr>
      <w:proofErr w:type="gramStart"/>
      <w:r w:rsidRPr="00941B4D">
        <w:rPr>
          <w:rFonts w:eastAsia="Times New Roman" w:cs="Arial"/>
          <w:color w:val="696969"/>
          <w:szCs w:val="20"/>
        </w:rPr>
        <w:t>Describe effectively</w:t>
      </w:r>
      <w:proofErr w:type="gramEnd"/>
      <w:r w:rsidRPr="00941B4D">
        <w:rPr>
          <w:rFonts w:eastAsia="Times New Roman" w:cs="Arial"/>
          <w:color w:val="696969"/>
          <w:szCs w:val="20"/>
        </w:rPr>
        <w:t xml:space="preserve"> an organization’s current process to meet the regulatory / accreditation requirements for competency</w:t>
      </w:r>
    </w:p>
    <w:p w14:paraId="53532851" w14:textId="77777777" w:rsidR="00941B4D" w:rsidRPr="00941B4D" w:rsidRDefault="00941B4D" w:rsidP="00941B4D">
      <w:pPr>
        <w:numPr>
          <w:ilvl w:val="0"/>
          <w:numId w:val="49"/>
        </w:numPr>
        <w:spacing w:before="100" w:beforeAutospacing="1" w:after="100" w:afterAutospacing="1"/>
        <w:rPr>
          <w:rFonts w:ascii="Times New Roman" w:eastAsia="Times New Roman" w:hAnsi="Times New Roman" w:cs="Times New Roman"/>
          <w:sz w:val="24"/>
        </w:rPr>
      </w:pPr>
      <w:r w:rsidRPr="00941B4D">
        <w:rPr>
          <w:rFonts w:eastAsia="Times New Roman" w:cs="Arial"/>
          <w:color w:val="696969"/>
          <w:szCs w:val="20"/>
        </w:rPr>
        <w:t>Describe how addressing the regulatory / accreditation requirements for competency using a recommended strategy positions organization for effective and reliable delivery of safe, high quality patient care</w:t>
      </w:r>
    </w:p>
    <w:p w14:paraId="6318ABA4" w14:textId="77777777" w:rsidR="004C1408" w:rsidRPr="00941B4D" w:rsidRDefault="004C1408" w:rsidP="004C1408"/>
    <w:p w14:paraId="4BD73991" w14:textId="6DE7724B" w:rsidR="00155E54" w:rsidRPr="000211DF" w:rsidRDefault="00155E54" w:rsidP="004C1408">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lastRenderedPageBreak/>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6655AB50" w:rsidR="0013180C" w:rsidRDefault="0013180C" w:rsidP="0013180C">
      <w:pPr>
        <w:rPr>
          <w:rFonts w:cs="Arial"/>
          <w:color w:val="595959" w:themeColor="text1" w:themeTint="A6"/>
          <w:szCs w:val="20"/>
        </w:rPr>
      </w:pPr>
    </w:p>
    <w:p w14:paraId="513EE7CC" w14:textId="29FF28B3" w:rsidR="003E44FE" w:rsidRPr="00145C63" w:rsidRDefault="003E44FE" w:rsidP="003E44FE">
      <w:pPr>
        <w:rPr>
          <w:rFonts w:cs="Arial"/>
          <w:color w:val="595959" w:themeColor="text1" w:themeTint="A6"/>
          <w:szCs w:val="20"/>
        </w:rPr>
      </w:pPr>
      <w:bookmarkStart w:id="1" w:name="_Hlk104989814"/>
      <w:r w:rsidRPr="00145C63">
        <w:rPr>
          <w:rFonts w:cs="Arial"/>
          <w:color w:val="595959" w:themeColor="text1" w:themeTint="A6"/>
          <w:szCs w:val="20"/>
        </w:rPr>
        <w:t>Vizient, Inc. is approved by the California Board of Registered Nursing, Provider Number CEP12580, for 1.</w:t>
      </w:r>
      <w:r>
        <w:rPr>
          <w:rFonts w:cs="Arial"/>
          <w:color w:val="595959" w:themeColor="text1" w:themeTint="A6"/>
          <w:szCs w:val="20"/>
        </w:rPr>
        <w:t>0</w:t>
      </w:r>
      <w:r w:rsidRPr="00145C63">
        <w:rPr>
          <w:rFonts w:cs="Arial"/>
          <w:color w:val="595959" w:themeColor="text1" w:themeTint="A6"/>
          <w:szCs w:val="20"/>
        </w:rPr>
        <w:t xml:space="preserve"> contact hours.</w:t>
      </w:r>
    </w:p>
    <w:bookmarkEnd w:id="1"/>
    <w:p w14:paraId="7F99FAFE" w14:textId="77777777" w:rsidR="003E44FE" w:rsidRPr="00145C63" w:rsidRDefault="003E44FE"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F4C4E8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179AC0F0" w14:textId="775E4256" w:rsidR="007A1399" w:rsidRPr="007A1399" w:rsidRDefault="007A1399" w:rsidP="00C9086F">
      <w:pPr>
        <w:spacing w:before="120" w:after="120" w:line="259" w:lineRule="auto"/>
        <w:contextualSpacing/>
        <w:rPr>
          <w:rFonts w:eastAsia="Calibri" w:cs="Arial"/>
          <w:bCs/>
          <w:color w:val="696969" w:themeColor="accent6"/>
          <w:szCs w:val="20"/>
        </w:rPr>
      </w:pPr>
      <w:r w:rsidRPr="007A1399">
        <w:rPr>
          <w:rFonts w:eastAsia="Calibri" w:cs="Arial"/>
          <w:bCs/>
          <w:color w:val="696969" w:themeColor="accent6"/>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p w14:paraId="26E86F9C" w14:textId="499BCC13" w:rsidR="007A1399" w:rsidRDefault="007A1399" w:rsidP="007A1399">
      <w:pPr>
        <w:spacing w:after="160" w:line="259" w:lineRule="auto"/>
        <w:rPr>
          <w:rFonts w:eastAsia="Calibri" w:cs="Arial"/>
          <w:b/>
          <w:bCs/>
          <w:color w:val="040404"/>
          <w:sz w:val="24"/>
          <w:shd w:val="clear" w:color="auto" w:fill="FFFFFF"/>
        </w:rPr>
      </w:pPr>
    </w:p>
    <w:p w14:paraId="78F0CB71" w14:textId="6B296A7D" w:rsidR="00C9086F" w:rsidRDefault="00C9086F" w:rsidP="007A1399">
      <w:pPr>
        <w:spacing w:after="160" w:line="259" w:lineRule="auto"/>
        <w:rPr>
          <w:rFonts w:eastAsia="Calibri" w:cs="Arial"/>
          <w:b/>
          <w:bCs/>
          <w:color w:val="040404"/>
          <w:sz w:val="24"/>
          <w:shd w:val="clear" w:color="auto" w:fill="FFFFFF"/>
        </w:rPr>
      </w:pPr>
      <w:r>
        <w:rPr>
          <w:rFonts w:eastAsia="Calibri" w:cs="Arial"/>
          <w:b/>
          <w:bCs/>
          <w:color w:val="040404"/>
          <w:sz w:val="24"/>
          <w:shd w:val="clear" w:color="auto" w:fill="FFFFFF"/>
        </w:rPr>
        <w:t>Faculty/Presenter</w:t>
      </w:r>
    </w:p>
    <w:p w14:paraId="28D9C630" w14:textId="4594E066" w:rsidR="00941B4D" w:rsidRDefault="00941B4D" w:rsidP="004C1408">
      <w:pPr>
        <w:rPr>
          <w:rFonts w:cs="Arial"/>
          <w:bCs/>
          <w:color w:val="696969" w:themeColor="text2"/>
          <w:szCs w:val="20"/>
        </w:rPr>
      </w:pPr>
      <w:r>
        <w:rPr>
          <w:rFonts w:cs="Arial"/>
          <w:color w:val="696969" w:themeColor="text2"/>
          <w:szCs w:val="20"/>
        </w:rPr>
        <w:lastRenderedPageBreak/>
        <w:t>Diana Scott</w:t>
      </w:r>
      <w:r>
        <w:rPr>
          <w:rFonts w:cs="Arial"/>
          <w:color w:val="696969" w:themeColor="text2"/>
          <w:szCs w:val="20"/>
        </w:rPr>
        <w:t>,</w:t>
      </w:r>
      <w:r>
        <w:rPr>
          <w:rFonts w:cs="Arial"/>
          <w:bCs/>
          <w:color w:val="696969" w:themeColor="text2"/>
          <w:szCs w:val="20"/>
        </w:rPr>
        <w:t xml:space="preserve"> </w:t>
      </w:r>
      <w:r>
        <w:rPr>
          <w:rFonts w:cs="Arial"/>
          <w:color w:val="696969" w:themeColor="text2"/>
          <w:szCs w:val="20"/>
        </w:rPr>
        <w:t>MHA, RN, CPHQ</w:t>
      </w:r>
      <w:r>
        <w:rPr>
          <w:rFonts w:cs="Arial"/>
          <w:bCs/>
          <w:color w:val="696969" w:themeColor="text2"/>
          <w:szCs w:val="20"/>
        </w:rPr>
        <w:t xml:space="preserve"> </w:t>
      </w:r>
    </w:p>
    <w:p w14:paraId="33990810" w14:textId="10D72602" w:rsidR="00941B4D" w:rsidRDefault="00941B4D" w:rsidP="004C1408">
      <w:pPr>
        <w:rPr>
          <w:rFonts w:cs="Arial"/>
          <w:bCs/>
          <w:color w:val="696969" w:themeColor="text2"/>
          <w:szCs w:val="20"/>
        </w:rPr>
      </w:pPr>
      <w:r>
        <w:rPr>
          <w:rFonts w:cs="Arial"/>
          <w:color w:val="696969" w:themeColor="text2"/>
          <w:szCs w:val="20"/>
        </w:rPr>
        <w:t>AVP Accreditation Advisory Services</w:t>
      </w:r>
      <w:r>
        <w:rPr>
          <w:rFonts w:cs="Arial"/>
          <w:bCs/>
          <w:color w:val="696969" w:themeColor="text2"/>
          <w:szCs w:val="20"/>
        </w:rPr>
        <w:t xml:space="preserve"> </w:t>
      </w:r>
    </w:p>
    <w:p w14:paraId="70C4E2E3" w14:textId="6D3F61D5" w:rsidR="004C1408" w:rsidRDefault="004C1408" w:rsidP="004C1408">
      <w:pPr>
        <w:rPr>
          <w:rFonts w:cs="Arial"/>
          <w:bCs/>
          <w:color w:val="696969" w:themeColor="text2"/>
          <w:szCs w:val="20"/>
        </w:rPr>
      </w:pPr>
      <w:r>
        <w:rPr>
          <w:rFonts w:cs="Arial"/>
          <w:bCs/>
          <w:color w:val="696969" w:themeColor="text2"/>
          <w:szCs w:val="20"/>
        </w:rPr>
        <w:t>Vizient, Inc.</w:t>
      </w:r>
    </w:p>
    <w:p w14:paraId="490DC008" w14:textId="77777777" w:rsidR="004C1408" w:rsidRDefault="004C1408" w:rsidP="007A1399">
      <w:pPr>
        <w:spacing w:after="160" w:line="259" w:lineRule="auto"/>
        <w:rPr>
          <w:rFonts w:cs="Arial"/>
          <w:bCs/>
          <w:color w:val="696969" w:themeColor="text2"/>
          <w:szCs w:val="20"/>
        </w:rPr>
      </w:pPr>
    </w:p>
    <w:p w14:paraId="1CE5F2DD" w14:textId="2F8CD058" w:rsidR="00C9086F" w:rsidRPr="004C1408" w:rsidRDefault="00C9086F" w:rsidP="007A1399">
      <w:pPr>
        <w:spacing w:after="160" w:line="259" w:lineRule="auto"/>
        <w:rPr>
          <w:rFonts w:cs="Arial"/>
          <w:b/>
          <w:sz w:val="24"/>
        </w:rPr>
      </w:pPr>
      <w:r w:rsidRPr="004C1408">
        <w:rPr>
          <w:rFonts w:cs="Arial"/>
          <w:b/>
          <w:sz w:val="24"/>
        </w:rPr>
        <w:t>Planners</w:t>
      </w:r>
    </w:p>
    <w:p w14:paraId="6593FE30" w14:textId="77777777" w:rsidR="004C1408" w:rsidRPr="000114BB" w:rsidRDefault="004C1408" w:rsidP="004C1408">
      <w:pPr>
        <w:rPr>
          <w:rFonts w:ascii="Courier New" w:hAnsi="Courier New" w:cs="Courier New"/>
          <w:color w:val="696969" w:themeColor="text2"/>
          <w:szCs w:val="20"/>
        </w:rPr>
      </w:pPr>
      <w:r w:rsidRPr="000114BB">
        <w:rPr>
          <w:rFonts w:cs="Arial"/>
          <w:color w:val="696969" w:themeColor="text2"/>
          <w:szCs w:val="20"/>
        </w:rPr>
        <w:t>Natalie Webb, MHA, RN, CPHQ</w:t>
      </w:r>
    </w:p>
    <w:p w14:paraId="798B565E" w14:textId="77777777" w:rsidR="004C1408" w:rsidRDefault="004C1408" w:rsidP="004C1408">
      <w:pPr>
        <w:rPr>
          <w:rFonts w:cs="Arial"/>
          <w:color w:val="696969"/>
          <w:szCs w:val="20"/>
        </w:rPr>
      </w:pPr>
      <w:r>
        <w:rPr>
          <w:rFonts w:cs="Arial"/>
          <w:color w:val="696969"/>
          <w:szCs w:val="20"/>
        </w:rPr>
        <w:t>Accreditation Director, Member Education and Learning</w:t>
      </w:r>
    </w:p>
    <w:p w14:paraId="717D59AB" w14:textId="77777777" w:rsidR="004C1408" w:rsidRDefault="004C1408" w:rsidP="004C1408">
      <w:pPr>
        <w:rPr>
          <w:rFonts w:cs="Arial"/>
          <w:color w:val="696969"/>
          <w:szCs w:val="20"/>
        </w:rPr>
      </w:pPr>
      <w:r>
        <w:rPr>
          <w:rFonts w:cs="Arial"/>
          <w:color w:val="696969"/>
          <w:szCs w:val="20"/>
        </w:rPr>
        <w:t>Center of Excellence</w:t>
      </w:r>
    </w:p>
    <w:p w14:paraId="482186DA" w14:textId="55B1130F" w:rsidR="004C1408" w:rsidRDefault="004C1408" w:rsidP="007A1399">
      <w:pPr>
        <w:spacing w:after="160" w:line="259" w:lineRule="auto"/>
        <w:rPr>
          <w:rFonts w:cs="Arial"/>
          <w:bCs/>
          <w:color w:val="696969" w:themeColor="text2"/>
          <w:szCs w:val="20"/>
        </w:rPr>
      </w:pPr>
      <w:r w:rsidRPr="004C1408">
        <w:rPr>
          <w:rFonts w:cs="Arial"/>
          <w:bCs/>
          <w:color w:val="696969" w:themeColor="text2"/>
          <w:szCs w:val="20"/>
        </w:rPr>
        <w:t xml:space="preserve">Vizient, Inc. </w:t>
      </w:r>
    </w:p>
    <w:p w14:paraId="0EE07CE9" w14:textId="77777777" w:rsidR="004C1408" w:rsidRPr="000114BB" w:rsidRDefault="004C1408" w:rsidP="004C1408">
      <w:pPr>
        <w:rPr>
          <w:rFonts w:ascii="Courier New" w:hAnsi="Courier New" w:cs="Courier New"/>
          <w:color w:val="696969" w:themeColor="text2"/>
          <w:szCs w:val="20"/>
        </w:rPr>
      </w:pPr>
      <w:r w:rsidRPr="000114BB">
        <w:rPr>
          <w:rFonts w:cs="Arial"/>
          <w:color w:val="696969" w:themeColor="text2"/>
          <w:szCs w:val="20"/>
        </w:rPr>
        <w:t>Lisa Taylor</w:t>
      </w:r>
    </w:p>
    <w:p w14:paraId="5524A71F" w14:textId="77777777" w:rsidR="004C1408" w:rsidRDefault="004C1408" w:rsidP="004C1408">
      <w:pPr>
        <w:rPr>
          <w:rFonts w:cs="Arial"/>
          <w:color w:val="696969"/>
          <w:szCs w:val="20"/>
        </w:rPr>
      </w:pPr>
      <w:r>
        <w:rPr>
          <w:rFonts w:cs="Arial"/>
          <w:color w:val="696969"/>
          <w:szCs w:val="20"/>
        </w:rPr>
        <w:t>Manager, Member Education and Learning</w:t>
      </w:r>
    </w:p>
    <w:p w14:paraId="0535145F" w14:textId="4D61935E" w:rsidR="004C1408" w:rsidRDefault="004C1408" w:rsidP="004C1408">
      <w:pPr>
        <w:rPr>
          <w:rFonts w:cs="Arial"/>
          <w:color w:val="696969"/>
          <w:szCs w:val="20"/>
        </w:rPr>
      </w:pPr>
      <w:r>
        <w:rPr>
          <w:rFonts w:cs="Arial"/>
          <w:color w:val="696969"/>
          <w:szCs w:val="20"/>
        </w:rPr>
        <w:t>Center of Excellence</w:t>
      </w:r>
    </w:p>
    <w:p w14:paraId="6EFD1286" w14:textId="77777777" w:rsidR="004C1408" w:rsidRDefault="004C1408" w:rsidP="004C1408">
      <w:pPr>
        <w:rPr>
          <w:rFonts w:cs="Arial"/>
          <w:bCs/>
          <w:color w:val="696969" w:themeColor="text2"/>
          <w:szCs w:val="20"/>
        </w:rPr>
      </w:pPr>
      <w:r w:rsidRPr="004C1408">
        <w:rPr>
          <w:rFonts w:cs="Arial"/>
          <w:bCs/>
          <w:color w:val="696969" w:themeColor="text2"/>
          <w:szCs w:val="20"/>
        </w:rPr>
        <w:t xml:space="preserve">Vizient, Inc. </w:t>
      </w:r>
    </w:p>
    <w:p w14:paraId="335F6D9E" w14:textId="77777777" w:rsidR="004C1408" w:rsidRPr="004C1408" w:rsidRDefault="004C1408" w:rsidP="004C1408">
      <w:pPr>
        <w:spacing w:after="160" w:line="259" w:lineRule="auto"/>
        <w:rPr>
          <w:rFonts w:cs="Arial"/>
          <w:bCs/>
          <w:color w:val="696969" w:themeColor="text2"/>
          <w:szCs w:val="20"/>
        </w:rPr>
      </w:pPr>
    </w:p>
    <w:p w14:paraId="7650C8CE" w14:textId="77777777" w:rsidR="00C9086F" w:rsidRPr="007A1399" w:rsidRDefault="00C9086F" w:rsidP="007A1399">
      <w:pPr>
        <w:spacing w:after="160" w:line="259" w:lineRule="auto"/>
        <w:rPr>
          <w:rFonts w:eastAsia="Calibri" w:cs="Arial"/>
          <w:b/>
          <w:bCs/>
          <w:color w:val="040404"/>
          <w:sz w:val="24"/>
          <w:shd w:val="clear" w:color="auto" w:fill="FFFFFF"/>
        </w:rPr>
      </w:pPr>
    </w:p>
    <w:sectPr w:rsidR="00C9086F" w:rsidRPr="007A139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47D2506"/>
    <w:multiLevelType w:val="hybridMultilevel"/>
    <w:tmpl w:val="2E76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DA3710C"/>
    <w:multiLevelType w:val="multilevel"/>
    <w:tmpl w:val="2FE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6"/>
  </w:num>
  <w:num w:numId="4">
    <w:abstractNumId w:val="36"/>
  </w:num>
  <w:num w:numId="5">
    <w:abstractNumId w:val="31"/>
  </w:num>
  <w:num w:numId="6">
    <w:abstractNumId w:val="4"/>
  </w:num>
  <w:num w:numId="7">
    <w:abstractNumId w:val="26"/>
  </w:num>
  <w:num w:numId="8">
    <w:abstractNumId w:val="43"/>
  </w:num>
  <w:num w:numId="9">
    <w:abstractNumId w:val="40"/>
  </w:num>
  <w:num w:numId="10">
    <w:abstractNumId w:val="44"/>
  </w:num>
  <w:num w:numId="11">
    <w:abstractNumId w:val="14"/>
  </w:num>
  <w:num w:numId="12">
    <w:abstractNumId w:val="28"/>
  </w:num>
  <w:num w:numId="13">
    <w:abstractNumId w:val="17"/>
  </w:num>
  <w:num w:numId="14">
    <w:abstractNumId w:val="33"/>
  </w:num>
  <w:num w:numId="15">
    <w:abstractNumId w:val="21"/>
  </w:num>
  <w:num w:numId="16">
    <w:abstractNumId w:val="6"/>
  </w:num>
  <w:num w:numId="17">
    <w:abstractNumId w:val="15"/>
  </w:num>
  <w:num w:numId="18">
    <w:abstractNumId w:val="39"/>
  </w:num>
  <w:num w:numId="19">
    <w:abstractNumId w:val="42"/>
  </w:num>
  <w:num w:numId="20">
    <w:abstractNumId w:val="30"/>
  </w:num>
  <w:num w:numId="21">
    <w:abstractNumId w:val="9"/>
  </w:num>
  <w:num w:numId="22">
    <w:abstractNumId w:val="24"/>
  </w:num>
  <w:num w:numId="23">
    <w:abstractNumId w:val="12"/>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7"/>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6"/>
  </w:num>
  <w:num w:numId="44">
    <w:abstractNumId w:val="11"/>
  </w:num>
  <w:num w:numId="45">
    <w:abstractNumId w:val="25"/>
  </w:num>
  <w:num w:numId="46">
    <w:abstractNumId w:val="13"/>
  </w:num>
  <w:num w:numId="47">
    <w:abstractNumId w:val="35"/>
  </w:num>
  <w:num w:numId="48">
    <w:abstractNumId w:val="1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114BB"/>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3CA0"/>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2A67"/>
    <w:rsid w:val="00395719"/>
    <w:rsid w:val="003A65B4"/>
    <w:rsid w:val="003B021D"/>
    <w:rsid w:val="003B5D8E"/>
    <w:rsid w:val="003B687F"/>
    <w:rsid w:val="003C51E8"/>
    <w:rsid w:val="003C6062"/>
    <w:rsid w:val="003E1362"/>
    <w:rsid w:val="003E319D"/>
    <w:rsid w:val="003E4049"/>
    <w:rsid w:val="003E424B"/>
    <w:rsid w:val="003E44FE"/>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140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41B4D"/>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86F"/>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styleId="NormalWeb">
    <w:name w:val="Normal (Web)"/>
    <w:basedOn w:val="Normal"/>
    <w:uiPriority w:val="99"/>
    <w:semiHidden/>
    <w:unhideWhenUsed/>
    <w:rsid w:val="00941B4D"/>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855">
      <w:bodyDiv w:val="1"/>
      <w:marLeft w:val="0"/>
      <w:marRight w:val="0"/>
      <w:marTop w:val="0"/>
      <w:marBottom w:val="0"/>
      <w:divBdr>
        <w:top w:val="none" w:sz="0" w:space="0" w:color="auto"/>
        <w:left w:val="none" w:sz="0" w:space="0" w:color="auto"/>
        <w:bottom w:val="none" w:sz="0" w:space="0" w:color="auto"/>
        <w:right w:val="none" w:sz="0" w:space="0" w:color="auto"/>
      </w:divBdr>
    </w:div>
    <w:div w:id="553590649">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577860380">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AllExternalAdhocVariableMappings/>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ListDefinition name="AD_HOC" displayName="AD_HOC" id="9426ea6f-1b24-4683-bca3-85d71f6375fd" isdomainofvalue="False" dataSourceId="80be7e5f-6e71-448c-9228-23264555308c"/>
</file>

<file path=customXml/item22.xml><?xml version="1.0" encoding="utf-8"?>
<VariableListDefinition name="Computed" displayName="Computed" id="69155e26-4760-488b-ab4c-bb15b0f8b2a2" isdomainofvalue="False" dataSourceId="87651697-ca1f-4d80-9f69-bb743e325714"/>
</file>

<file path=customXml/item23.xml><?xml version="1.0" encoding="utf-8"?>
<DocPartTree/>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AllMetadata/>
</file>

<file path=customXml/item26.xml><?xml version="1.0" encoding="utf-8"?>
<AllWordPDs>
</AllWordPDs>
</file>

<file path=customXml/item27.xml><?xml version="1.0" encoding="utf-8"?>
<VariableListDefinition name="System" displayName="System" id="dc9731b4-d0d2-4ed5-b20d-434d69de1706" isdomainofvalue="False" dataSourceId="00b80028-d226-4a39-9a19-6787589aad19"/>
</file>

<file path=customXml/item3.xml><?xml version="1.0" encoding="utf-8"?>
<SourceDataModel Name="AD_HOC" TargetDataSourceId="80be7e5f-6e71-448c-9228-23264555308c"/>
</file>

<file path=customXml/item4.xml><?xml version="1.0" encoding="utf-8"?>
<SourceDataModel Name="System" TargetDataSourceId="00b80028-d226-4a39-9a19-6787589aad19"/>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UsageMapping/>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2</cp:revision>
  <cp:lastPrinted>2015-12-22T16:01:00Z</cp:lastPrinted>
  <dcterms:created xsi:type="dcterms:W3CDTF">2022-06-30T17:02:00Z</dcterms:created>
  <dcterms:modified xsi:type="dcterms:W3CDTF">2022-06-30T17:02:00Z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