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17763A6A" w:rsidR="00ED6AE4" w:rsidRPr="008B1CED" w:rsidRDefault="00103CA0" w:rsidP="00ED6AE4">
      <w:pPr>
        <w:pStyle w:val="Heading"/>
      </w:pPr>
      <w:bookmarkStart w:id="0" w:name="_Hlk104986283"/>
      <w:r>
        <w:t xml:space="preserve">2022 </w:t>
      </w:r>
      <w:r>
        <w:t>Fundamental Accreditation Series</w:t>
      </w:r>
      <w:r>
        <w:t xml:space="preserve">: </w:t>
      </w:r>
      <w:r>
        <w:t>Emergency Management</w:t>
      </w:r>
    </w:p>
    <w:bookmarkEnd w:id="0"/>
    <w:p w14:paraId="0D0DC3CD" w14:textId="69CBE77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03CA0">
        <w:rPr>
          <w:color w:val="595959" w:themeColor="text1" w:themeTint="A6"/>
        </w:rPr>
        <w:t>June 13, 2022</w:t>
      </w:r>
    </w:p>
    <w:p w14:paraId="641D3E3A" w14:textId="31135314"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9086F">
        <w:rPr>
          <w:color w:val="595959" w:themeColor="text1" w:themeTint="A6"/>
        </w:rPr>
        <w:t>Natalie Webb</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4F86E8C"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C9086F">
        <w:rPr>
          <w:rFonts w:cs="Arial"/>
          <w:b/>
          <w:color w:val="595959" w:themeColor="text1" w:themeTint="A6"/>
          <w:szCs w:val="20"/>
        </w:rPr>
        <w:t>July 28,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1"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t>
      </w:r>
      <w:proofErr w:type="gramStart"/>
      <w:r w:rsidR="00535D5C">
        <w:rPr>
          <w:rFonts w:cs="Arial"/>
          <w:color w:val="595959" w:themeColor="text1" w:themeTint="A6"/>
          <w:szCs w:val="20"/>
        </w:rPr>
        <w:t>with the exception of</w:t>
      </w:r>
      <w:proofErr w:type="gramEnd"/>
      <w:r w:rsidR="00535D5C">
        <w:rPr>
          <w:rFonts w:cs="Arial"/>
          <w:color w:val="595959" w:themeColor="text1" w:themeTint="A6"/>
          <w:szCs w:val="20"/>
        </w:rPr>
        <w:t xml:space="preserve"> pharmacists and pharmacy technicians.)</w:t>
      </w:r>
    </w:p>
    <w:bookmarkEnd w:id="1"/>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2"/>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76B5E2B8" w14:textId="6B07DAFA" w:rsidR="004C1408" w:rsidRPr="004C1408" w:rsidRDefault="004C1408" w:rsidP="004C1408">
      <w:pPr>
        <w:pStyle w:val="ListParagraph"/>
        <w:numPr>
          <w:ilvl w:val="0"/>
          <w:numId w:val="48"/>
        </w:numPr>
        <w:ind w:left="360"/>
        <w:rPr>
          <w:rFonts w:asciiTheme="minorHAnsi" w:eastAsia="Calibri" w:hAnsiTheme="minorHAnsi" w:cstheme="minorHAnsi"/>
          <w:color w:val="696969" w:themeColor="text2"/>
          <w:szCs w:val="20"/>
        </w:rPr>
      </w:pPr>
      <w:r w:rsidRPr="004C1408">
        <w:rPr>
          <w:rFonts w:cs="Arial"/>
          <w:color w:val="696969"/>
          <w:szCs w:val="20"/>
        </w:rPr>
        <w:t>Identify one expectation of the emergency management accreditation standards /regulatory requirements</w:t>
      </w:r>
    </w:p>
    <w:p w14:paraId="3AC7AC13" w14:textId="664E75BE" w:rsidR="004C1408" w:rsidRPr="004C1408" w:rsidRDefault="004C1408" w:rsidP="004C1408">
      <w:pPr>
        <w:pStyle w:val="ListParagraph"/>
        <w:numPr>
          <w:ilvl w:val="0"/>
          <w:numId w:val="48"/>
        </w:numPr>
        <w:ind w:left="360"/>
        <w:rPr>
          <w:rFonts w:asciiTheme="minorHAnsi" w:eastAsia="Calibri" w:hAnsiTheme="minorHAnsi" w:cstheme="minorHAnsi"/>
          <w:color w:val="696969" w:themeColor="text2"/>
          <w:szCs w:val="20"/>
        </w:rPr>
      </w:pPr>
      <w:r w:rsidRPr="004C1408">
        <w:rPr>
          <w:rFonts w:asciiTheme="minorHAnsi" w:hAnsiTheme="minorHAnsi"/>
          <w:color w:val="696969"/>
        </w:rPr>
        <w:t>Describe a current process to meet the intent the emergency management standards/regulatory requirements</w:t>
      </w:r>
    </w:p>
    <w:p w14:paraId="75844211" w14:textId="19D39D83" w:rsidR="004C1408" w:rsidRPr="004C1408" w:rsidRDefault="004C1408" w:rsidP="004C1408">
      <w:pPr>
        <w:pStyle w:val="ListParagraph"/>
        <w:numPr>
          <w:ilvl w:val="0"/>
          <w:numId w:val="48"/>
        </w:numPr>
        <w:ind w:left="360"/>
        <w:rPr>
          <w:rFonts w:asciiTheme="minorHAnsi" w:hAnsiTheme="minorHAnsi"/>
          <w:color w:val="696969"/>
        </w:rPr>
      </w:pPr>
      <w:r w:rsidRPr="004C1408">
        <w:rPr>
          <w:rFonts w:asciiTheme="minorHAnsi" w:hAnsiTheme="minorHAnsi"/>
          <w:color w:val="696969"/>
        </w:rPr>
        <w:t>Describe how the emergency management accreditation/regulatory process positions organizations for effective and reliable delivery of safe, high quality patient care</w:t>
      </w:r>
    </w:p>
    <w:p w14:paraId="6318ABA4" w14:textId="77777777" w:rsidR="004C1408" w:rsidRDefault="004C1408" w:rsidP="004C1408">
      <w:pPr>
        <w:rPr>
          <w:rFonts w:asciiTheme="minorHAnsi" w:hAnsiTheme="minorHAnsi"/>
          <w:color w:val="696969"/>
        </w:rPr>
      </w:pPr>
    </w:p>
    <w:p w14:paraId="4BD73991" w14:textId="6DE7724B" w:rsidR="00155E54" w:rsidRPr="000211DF" w:rsidRDefault="00155E54" w:rsidP="004C1408">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6655AB50" w:rsidR="0013180C" w:rsidRDefault="0013180C" w:rsidP="0013180C">
      <w:pPr>
        <w:rPr>
          <w:rFonts w:cs="Arial"/>
          <w:color w:val="595959" w:themeColor="text1" w:themeTint="A6"/>
          <w:szCs w:val="20"/>
        </w:rPr>
      </w:pPr>
    </w:p>
    <w:p w14:paraId="513EE7CC" w14:textId="29FF28B3" w:rsidR="003E44FE" w:rsidRPr="00145C63" w:rsidRDefault="003E44FE" w:rsidP="003E44FE">
      <w:pPr>
        <w:rPr>
          <w:rFonts w:cs="Arial"/>
          <w:color w:val="595959" w:themeColor="text1" w:themeTint="A6"/>
          <w:szCs w:val="20"/>
        </w:rPr>
      </w:pPr>
      <w:bookmarkStart w:id="3" w:name="_Hlk104989814"/>
      <w:r w:rsidRPr="00145C63">
        <w:rPr>
          <w:rFonts w:cs="Arial"/>
          <w:color w:val="595959" w:themeColor="text1" w:themeTint="A6"/>
          <w:szCs w:val="20"/>
        </w:rPr>
        <w:t>Vizient, Inc. is approved by the California Board of Registered Nursing, Provider Number CEP12580, for 1.</w:t>
      </w:r>
      <w:r>
        <w:rPr>
          <w:rFonts w:cs="Arial"/>
          <w:color w:val="595959" w:themeColor="text1" w:themeTint="A6"/>
          <w:szCs w:val="20"/>
        </w:rPr>
        <w:t>0</w:t>
      </w:r>
      <w:r w:rsidRPr="00145C63">
        <w:rPr>
          <w:rFonts w:cs="Arial"/>
          <w:color w:val="595959" w:themeColor="text1" w:themeTint="A6"/>
          <w:szCs w:val="20"/>
        </w:rPr>
        <w:t xml:space="preserve"> contact hours.</w:t>
      </w:r>
    </w:p>
    <w:bookmarkEnd w:id="3"/>
    <w:p w14:paraId="7F99FAFE" w14:textId="77777777" w:rsidR="003E44FE" w:rsidRPr="00145C63" w:rsidRDefault="003E44FE" w:rsidP="0013180C">
      <w:pPr>
        <w:rPr>
          <w:rFonts w:cs="Arial"/>
          <w:color w:val="595959" w:themeColor="text1" w:themeTint="A6"/>
          <w:szCs w:val="20"/>
        </w:rPr>
      </w:pPr>
    </w:p>
    <w:p w14:paraId="3E3D412D" w14:textId="77777777" w:rsidR="00D53AD4" w:rsidRDefault="00D53AD4" w:rsidP="00D53AD4">
      <w:pPr>
        <w:pStyle w:val="Heading4"/>
        <w:shd w:val="clear" w:color="auto" w:fill="FFFFFF"/>
        <w:rPr>
          <w:rFonts w:cs="Arial"/>
          <w:color w:val="696969" w:themeColor="accent6"/>
        </w:rPr>
      </w:pPr>
      <w:r>
        <w:rPr>
          <w:rFonts w:cs="Arial"/>
          <w:color w:val="696969" w:themeColor="accent6"/>
        </w:rPr>
        <w:t>NATIONAL ASSOCIATION FOR HEALTHCARE QUALITY</w:t>
      </w:r>
    </w:p>
    <w:p w14:paraId="4EFA436C" w14:textId="6F4C4E8D" w:rsidR="00D53AD4" w:rsidRPr="007321BA" w:rsidRDefault="00D53AD4" w:rsidP="00D53AD4">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1.00</w:t>
      </w:r>
      <w:r w:rsidRPr="007321BA">
        <w:rPr>
          <w:iCs/>
          <w:color w:val="696969" w:themeColor="accent6"/>
        </w:rPr>
        <w:t xml:space="preserve"> CPHQ continuing education credits for this event</w:t>
      </w:r>
      <w:r w:rsidR="00BE7633">
        <w:rPr>
          <w:iCs/>
          <w:color w:val="696969" w:themeColor="accent6"/>
        </w:rPr>
        <w:t>.</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010CA3B2" w14:textId="77777777" w:rsidR="00BE43F5" w:rsidRPr="00145C63" w:rsidRDefault="00BE43F5"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lastRenderedPageBreak/>
        <w:t>Absence of Relevant Financial Relationships</w:t>
      </w:r>
    </w:p>
    <w:p w14:paraId="0A033BB2" w14:textId="5E57F394" w:rsidR="007A1399" w:rsidRP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179AC0F0" w14:textId="775E4256" w:rsidR="007A1399" w:rsidRPr="007A1399" w:rsidRDefault="007A1399" w:rsidP="00C9086F">
      <w:pPr>
        <w:spacing w:before="120" w:after="120" w:line="259" w:lineRule="auto"/>
        <w:contextualSpacing/>
        <w:rPr>
          <w:rFonts w:eastAsia="Calibri" w:cs="Arial"/>
          <w:bCs/>
          <w:color w:val="696969" w:themeColor="accent6"/>
          <w:szCs w:val="20"/>
        </w:rPr>
      </w:pPr>
      <w:r w:rsidRPr="007A1399">
        <w:rPr>
          <w:rFonts w:eastAsia="Calibri" w:cs="Arial"/>
          <w:bCs/>
          <w:color w:val="696969" w:themeColor="accent6"/>
          <w:szCs w:val="20"/>
        </w:rPr>
        <w:t>None of the planners for this educational activity have relevant financial relationship(s) to disclose with ineligible companies whose primary business is producing, marketing, selling, re-selling, or distributing healthcare products used by or on patients.</w:t>
      </w:r>
    </w:p>
    <w:p w14:paraId="26E86F9C" w14:textId="499BCC13" w:rsidR="007A1399" w:rsidRDefault="007A1399" w:rsidP="007A1399">
      <w:pPr>
        <w:spacing w:after="160" w:line="259" w:lineRule="auto"/>
        <w:rPr>
          <w:rFonts w:eastAsia="Calibri" w:cs="Arial"/>
          <w:b/>
          <w:bCs/>
          <w:color w:val="040404"/>
          <w:sz w:val="24"/>
          <w:shd w:val="clear" w:color="auto" w:fill="FFFFFF"/>
        </w:rPr>
      </w:pPr>
    </w:p>
    <w:p w14:paraId="78F0CB71" w14:textId="6B296A7D" w:rsidR="00C9086F" w:rsidRDefault="00C9086F" w:rsidP="007A1399">
      <w:pPr>
        <w:spacing w:after="160" w:line="259" w:lineRule="auto"/>
        <w:rPr>
          <w:rFonts w:eastAsia="Calibri" w:cs="Arial"/>
          <w:b/>
          <w:bCs/>
          <w:color w:val="040404"/>
          <w:sz w:val="24"/>
          <w:shd w:val="clear" w:color="auto" w:fill="FFFFFF"/>
        </w:rPr>
      </w:pPr>
      <w:r>
        <w:rPr>
          <w:rFonts w:eastAsia="Calibri" w:cs="Arial"/>
          <w:b/>
          <w:bCs/>
          <w:color w:val="040404"/>
          <w:sz w:val="24"/>
          <w:shd w:val="clear" w:color="auto" w:fill="FFFFFF"/>
        </w:rPr>
        <w:t>Faculty/Presenter</w:t>
      </w:r>
    </w:p>
    <w:p w14:paraId="2EE727A9" w14:textId="7D3A768D" w:rsidR="00C9086F" w:rsidRDefault="00C9086F" w:rsidP="004C1408">
      <w:pPr>
        <w:rPr>
          <w:rFonts w:cs="Arial"/>
          <w:bCs/>
          <w:color w:val="696969" w:themeColor="text2"/>
          <w:szCs w:val="20"/>
        </w:rPr>
      </w:pPr>
      <w:r w:rsidRPr="008B6D03">
        <w:rPr>
          <w:rFonts w:cs="Arial"/>
          <w:bCs/>
          <w:color w:val="696969" w:themeColor="text2"/>
          <w:szCs w:val="20"/>
        </w:rPr>
        <w:t xml:space="preserve">Joseph </w:t>
      </w:r>
      <w:proofErr w:type="spellStart"/>
      <w:r w:rsidRPr="008B6D03">
        <w:rPr>
          <w:rFonts w:cs="Arial"/>
          <w:bCs/>
          <w:color w:val="696969" w:themeColor="text2"/>
          <w:szCs w:val="20"/>
        </w:rPr>
        <w:t>Bellino</w:t>
      </w:r>
      <w:proofErr w:type="spellEnd"/>
      <w:r w:rsidR="004C1408">
        <w:rPr>
          <w:rFonts w:cs="Arial"/>
          <w:bCs/>
          <w:color w:val="696969" w:themeColor="text2"/>
          <w:szCs w:val="20"/>
        </w:rPr>
        <w:t>, BS, LSCS, CHFM</w:t>
      </w:r>
    </w:p>
    <w:p w14:paraId="46E2EBA5" w14:textId="417997E4" w:rsidR="004C1408" w:rsidRDefault="004C1408" w:rsidP="004C1408">
      <w:pPr>
        <w:rPr>
          <w:rFonts w:cs="Arial"/>
          <w:bCs/>
          <w:color w:val="696969" w:themeColor="text2"/>
          <w:szCs w:val="20"/>
        </w:rPr>
      </w:pPr>
      <w:r>
        <w:rPr>
          <w:rFonts w:cs="Arial"/>
          <w:bCs/>
          <w:color w:val="696969" w:themeColor="text2"/>
          <w:szCs w:val="20"/>
        </w:rPr>
        <w:t>Advisor, Accreditation</w:t>
      </w:r>
    </w:p>
    <w:p w14:paraId="70C4E2E3" w14:textId="732EC72C" w:rsidR="004C1408" w:rsidRDefault="004C1408" w:rsidP="004C1408">
      <w:pPr>
        <w:rPr>
          <w:rFonts w:cs="Arial"/>
          <w:bCs/>
          <w:color w:val="696969" w:themeColor="text2"/>
          <w:szCs w:val="20"/>
        </w:rPr>
      </w:pPr>
      <w:r>
        <w:rPr>
          <w:rFonts w:cs="Arial"/>
          <w:bCs/>
          <w:color w:val="696969" w:themeColor="text2"/>
          <w:szCs w:val="20"/>
        </w:rPr>
        <w:t>Vizient, Inc.</w:t>
      </w:r>
    </w:p>
    <w:p w14:paraId="490DC008" w14:textId="77777777" w:rsidR="004C1408" w:rsidRDefault="004C1408" w:rsidP="007A1399">
      <w:pPr>
        <w:spacing w:after="160" w:line="259" w:lineRule="auto"/>
        <w:rPr>
          <w:rFonts w:cs="Arial"/>
          <w:bCs/>
          <w:color w:val="696969" w:themeColor="text2"/>
          <w:szCs w:val="20"/>
        </w:rPr>
      </w:pPr>
    </w:p>
    <w:p w14:paraId="1CE5F2DD" w14:textId="2F8CD058" w:rsidR="00C9086F" w:rsidRPr="004C1408" w:rsidRDefault="00C9086F" w:rsidP="007A1399">
      <w:pPr>
        <w:spacing w:after="160" w:line="259" w:lineRule="auto"/>
        <w:rPr>
          <w:rFonts w:cs="Arial"/>
          <w:b/>
          <w:sz w:val="24"/>
        </w:rPr>
      </w:pPr>
      <w:r w:rsidRPr="004C1408">
        <w:rPr>
          <w:rFonts w:cs="Arial"/>
          <w:b/>
          <w:sz w:val="24"/>
        </w:rPr>
        <w:t>Planners</w:t>
      </w:r>
    </w:p>
    <w:p w14:paraId="6593FE30" w14:textId="77777777" w:rsidR="004C1408" w:rsidRDefault="004C1408" w:rsidP="004C1408">
      <w:pPr>
        <w:rPr>
          <w:rFonts w:ascii="Courier New" w:hAnsi="Courier New" w:cs="Courier New"/>
          <w:szCs w:val="20"/>
        </w:rPr>
      </w:pPr>
      <w:r>
        <w:rPr>
          <w:rFonts w:cs="Arial"/>
          <w:color w:val="FF4E00"/>
          <w:szCs w:val="20"/>
        </w:rPr>
        <w:t>Natalie Webb, MHA, RN, CPHQ</w:t>
      </w:r>
    </w:p>
    <w:p w14:paraId="798B565E" w14:textId="77777777" w:rsidR="004C1408" w:rsidRDefault="004C1408" w:rsidP="004C1408">
      <w:pPr>
        <w:rPr>
          <w:rFonts w:cs="Arial"/>
          <w:color w:val="696969"/>
          <w:szCs w:val="20"/>
        </w:rPr>
      </w:pPr>
      <w:r>
        <w:rPr>
          <w:rFonts w:cs="Arial"/>
          <w:color w:val="696969"/>
          <w:szCs w:val="20"/>
        </w:rPr>
        <w:t>Accreditation Director, Member Education and Learning</w:t>
      </w:r>
    </w:p>
    <w:p w14:paraId="717D59AB" w14:textId="77777777" w:rsidR="004C1408" w:rsidRDefault="004C1408" w:rsidP="004C1408">
      <w:pPr>
        <w:rPr>
          <w:rFonts w:cs="Arial"/>
          <w:color w:val="696969"/>
          <w:szCs w:val="20"/>
        </w:rPr>
      </w:pPr>
      <w:r>
        <w:rPr>
          <w:rFonts w:cs="Arial"/>
          <w:color w:val="696969"/>
          <w:szCs w:val="20"/>
        </w:rPr>
        <w:t>Center of Excellence</w:t>
      </w:r>
    </w:p>
    <w:p w14:paraId="482186DA" w14:textId="55B1130F" w:rsidR="004C1408" w:rsidRDefault="004C1408" w:rsidP="007A1399">
      <w:pPr>
        <w:spacing w:after="160" w:line="259" w:lineRule="auto"/>
        <w:rPr>
          <w:rFonts w:cs="Arial"/>
          <w:bCs/>
          <w:color w:val="696969" w:themeColor="text2"/>
          <w:szCs w:val="20"/>
        </w:rPr>
      </w:pPr>
      <w:r w:rsidRPr="004C1408">
        <w:rPr>
          <w:rFonts w:cs="Arial"/>
          <w:bCs/>
          <w:color w:val="696969" w:themeColor="text2"/>
          <w:szCs w:val="20"/>
        </w:rPr>
        <w:t xml:space="preserve">Vizient, Inc. </w:t>
      </w:r>
    </w:p>
    <w:p w14:paraId="0EE07CE9" w14:textId="77777777" w:rsidR="004C1408" w:rsidRDefault="004C1408" w:rsidP="004C1408">
      <w:pPr>
        <w:rPr>
          <w:rFonts w:ascii="Courier New" w:hAnsi="Courier New" w:cs="Courier New"/>
          <w:color w:val="44546A"/>
          <w:szCs w:val="20"/>
        </w:rPr>
      </w:pPr>
      <w:r>
        <w:rPr>
          <w:rFonts w:cs="Arial"/>
          <w:color w:val="FF4E00"/>
          <w:szCs w:val="20"/>
        </w:rPr>
        <w:t>Lisa Taylor</w:t>
      </w:r>
    </w:p>
    <w:p w14:paraId="5524A71F" w14:textId="77777777" w:rsidR="004C1408" w:rsidRDefault="004C1408" w:rsidP="004C1408">
      <w:pPr>
        <w:rPr>
          <w:rFonts w:cs="Arial"/>
          <w:color w:val="696969"/>
          <w:szCs w:val="20"/>
        </w:rPr>
      </w:pPr>
      <w:r>
        <w:rPr>
          <w:rFonts w:cs="Arial"/>
          <w:color w:val="696969"/>
          <w:szCs w:val="20"/>
        </w:rPr>
        <w:t>Manager, Member Education and Learning</w:t>
      </w:r>
    </w:p>
    <w:p w14:paraId="0535145F" w14:textId="4D61935E" w:rsidR="004C1408" w:rsidRDefault="004C1408" w:rsidP="004C1408">
      <w:pPr>
        <w:rPr>
          <w:rFonts w:cs="Arial"/>
          <w:color w:val="696969"/>
          <w:szCs w:val="20"/>
        </w:rPr>
      </w:pPr>
      <w:r>
        <w:rPr>
          <w:rFonts w:cs="Arial"/>
          <w:color w:val="696969"/>
          <w:szCs w:val="20"/>
        </w:rPr>
        <w:t>Center of Excellence</w:t>
      </w:r>
    </w:p>
    <w:p w14:paraId="6EFD1286" w14:textId="77777777" w:rsidR="004C1408" w:rsidRDefault="004C1408" w:rsidP="004C1408">
      <w:pPr>
        <w:rPr>
          <w:rFonts w:cs="Arial"/>
          <w:bCs/>
          <w:color w:val="696969" w:themeColor="text2"/>
          <w:szCs w:val="20"/>
        </w:rPr>
      </w:pPr>
      <w:r w:rsidRPr="004C1408">
        <w:rPr>
          <w:rFonts w:cs="Arial"/>
          <w:bCs/>
          <w:color w:val="696969" w:themeColor="text2"/>
          <w:szCs w:val="20"/>
        </w:rPr>
        <w:t xml:space="preserve">Vizient, Inc. </w:t>
      </w:r>
    </w:p>
    <w:p w14:paraId="335F6D9E" w14:textId="77777777" w:rsidR="004C1408" w:rsidRPr="004C1408" w:rsidRDefault="004C1408" w:rsidP="004C1408">
      <w:pPr>
        <w:spacing w:after="160" w:line="259" w:lineRule="auto"/>
        <w:rPr>
          <w:rFonts w:cs="Arial"/>
          <w:bCs/>
          <w:color w:val="696969" w:themeColor="text2"/>
          <w:szCs w:val="20"/>
        </w:rPr>
      </w:pPr>
    </w:p>
    <w:p w14:paraId="7650C8CE" w14:textId="77777777" w:rsidR="00C9086F" w:rsidRPr="007A1399" w:rsidRDefault="00C9086F" w:rsidP="007A1399">
      <w:pPr>
        <w:spacing w:after="160" w:line="259" w:lineRule="auto"/>
        <w:rPr>
          <w:rFonts w:eastAsia="Calibri" w:cs="Arial"/>
          <w:b/>
          <w:bCs/>
          <w:color w:val="040404"/>
          <w:sz w:val="24"/>
          <w:shd w:val="clear" w:color="auto" w:fill="FFFFFF"/>
        </w:rPr>
      </w:pPr>
    </w:p>
    <w:sectPr w:rsidR="00C9086F" w:rsidRPr="007A1399"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47D2506"/>
    <w:multiLevelType w:val="hybridMultilevel"/>
    <w:tmpl w:val="2E76B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5"/>
  </w:num>
  <w:num w:numId="4">
    <w:abstractNumId w:val="35"/>
  </w:num>
  <w:num w:numId="5">
    <w:abstractNumId w:val="31"/>
  </w:num>
  <w:num w:numId="6">
    <w:abstractNumId w:val="4"/>
  </w:num>
  <w:num w:numId="7">
    <w:abstractNumId w:val="26"/>
  </w:num>
  <w:num w:numId="8">
    <w:abstractNumId w:val="42"/>
  </w:num>
  <w:num w:numId="9">
    <w:abstractNumId w:val="39"/>
  </w:num>
  <w:num w:numId="10">
    <w:abstractNumId w:val="43"/>
  </w:num>
  <w:num w:numId="11">
    <w:abstractNumId w:val="14"/>
  </w:num>
  <w:num w:numId="12">
    <w:abstractNumId w:val="28"/>
  </w:num>
  <w:num w:numId="13">
    <w:abstractNumId w:val="17"/>
  </w:num>
  <w:num w:numId="14">
    <w:abstractNumId w:val="33"/>
  </w:num>
  <w:num w:numId="15">
    <w:abstractNumId w:val="21"/>
  </w:num>
  <w:num w:numId="16">
    <w:abstractNumId w:val="6"/>
  </w:num>
  <w:num w:numId="17">
    <w:abstractNumId w:val="15"/>
  </w:num>
  <w:num w:numId="18">
    <w:abstractNumId w:val="38"/>
  </w:num>
  <w:num w:numId="19">
    <w:abstractNumId w:val="41"/>
  </w:num>
  <w:num w:numId="20">
    <w:abstractNumId w:val="30"/>
  </w:num>
  <w:num w:numId="21">
    <w:abstractNumId w:val="9"/>
  </w:num>
  <w:num w:numId="22">
    <w:abstractNumId w:val="24"/>
  </w:num>
  <w:num w:numId="23">
    <w:abstractNumId w:val="12"/>
  </w:num>
  <w:num w:numId="24">
    <w:abstractNumId w:val="37"/>
  </w:num>
  <w:num w:numId="25">
    <w:abstractNumId w:val="3"/>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8"/>
  </w:num>
  <w:num w:numId="33">
    <w:abstractNumId w:val="36"/>
  </w:num>
  <w:num w:numId="34">
    <w:abstractNumId w:val="23"/>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20"/>
  </w:num>
  <w:num w:numId="42">
    <w:abstractNumId w:val="32"/>
  </w:num>
  <w:num w:numId="43">
    <w:abstractNumId w:val="16"/>
  </w:num>
  <w:num w:numId="44">
    <w:abstractNumId w:val="11"/>
  </w:num>
  <w:num w:numId="45">
    <w:abstractNumId w:val="25"/>
  </w:num>
  <w:num w:numId="46">
    <w:abstractNumId w:val="13"/>
  </w:num>
  <w:num w:numId="47">
    <w:abstractNumId w:val="3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3CA0"/>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44FE"/>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140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43F5"/>
    <w:rsid w:val="00BE6400"/>
    <w:rsid w:val="00BE7633"/>
    <w:rsid w:val="00BF5337"/>
    <w:rsid w:val="00C04534"/>
    <w:rsid w:val="00C205E3"/>
    <w:rsid w:val="00C36F35"/>
    <w:rsid w:val="00C370B8"/>
    <w:rsid w:val="00C406F6"/>
    <w:rsid w:val="00C419FD"/>
    <w:rsid w:val="00C55AA4"/>
    <w:rsid w:val="00C72E6C"/>
    <w:rsid w:val="00C758A2"/>
    <w:rsid w:val="00C9086F"/>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540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90649">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577860380">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rd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AllExternalAdhocVariableMappings/>
</file>

<file path=customXml/item11.xml><?xml version="1.0" encoding="utf-8"?>
<VariableListDefinition name="Computed" displayName="Computed" id="69155e26-4760-488b-ab4c-bb15b0f8b2a2" isdomainofvalue="False" dataSourceId="87651697-ca1f-4d80-9f69-bb743e325714"/>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AllMetadata/>
</file>

<file path=customXml/item17.xml><?xml version="1.0" encoding="utf-8"?>
<SourceDataModel Name="System" TargetDataSourceId="00b80028-d226-4a39-9a19-6787589aad19"/>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DocPartTree/>
</file>

<file path=customXml/item22.xml><?xml version="1.0" encoding="utf-8"?>
<SourceDataModel Name="Computed" TargetDataSourceId="87651697-ca1f-4d80-9f69-bb743e325714"/>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5.xml><?xml version="1.0" encoding="utf-8"?>
<AllWordPDs>
</AllWordPDs>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VariableUsageMapping/>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ourceDataModel Name="AD_HOC" TargetDataSourceId="80be7e5f-6e71-448c-9228-23264555308c"/>
</file>

<file path=customXml/item8.xml><?xml version="1.0" encoding="utf-8"?>
<VariableListDefinition name="AD_HOC" displayName="AD_HOC" id="9426ea6f-1b24-4683-bca3-85d71f6375fd" isdomainofvalue="False" dataSourceId="80be7e5f-6e71-448c-9228-23264555308c"/>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C4AEAB29-4929-45AF-A192-84C4D708764D}">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BEAFDBBE-0F51-4017-B707-8386C7FBABFD}">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Gordon,Samantha</cp:lastModifiedBy>
  <cp:revision>3</cp:revision>
  <cp:lastPrinted>2015-12-22T16:01:00Z</cp:lastPrinted>
  <dcterms:created xsi:type="dcterms:W3CDTF">2022-06-01T18:59:00Z</dcterms:created>
  <dcterms:modified xsi:type="dcterms:W3CDTF">2022-06-01T19:38:00Z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