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4443370D" w:rsidR="00ED6AE4" w:rsidRPr="006C6397" w:rsidRDefault="005B7F05" w:rsidP="00CE68C4">
      <w:pPr>
        <w:pStyle w:val="Heading"/>
      </w:pPr>
      <w:r w:rsidRPr="006C6397">
        <w:rPr>
          <w:rStyle w:val="Style1"/>
          <w:rFonts w:ascii="Arial" w:hAnsi="Arial"/>
          <w:color w:val="01ADAB" w:themeColor="accent4"/>
          <w:sz w:val="28"/>
          <w:szCs w:val="28"/>
        </w:rPr>
        <w:t xml:space="preserve">Reimbursement Series: The ABC &amp; </w:t>
      </w:r>
      <w:proofErr w:type="gramStart"/>
      <w:r w:rsidRPr="006C6397">
        <w:rPr>
          <w:rStyle w:val="Style1"/>
          <w:rFonts w:ascii="Arial" w:hAnsi="Arial"/>
          <w:color w:val="01ADAB" w:themeColor="accent4"/>
          <w:sz w:val="28"/>
          <w:szCs w:val="28"/>
        </w:rPr>
        <w:t>D’s</w:t>
      </w:r>
      <w:proofErr w:type="gramEnd"/>
      <w:r w:rsidRPr="006C6397">
        <w:rPr>
          <w:rStyle w:val="Style1"/>
          <w:rFonts w:ascii="Arial" w:hAnsi="Arial"/>
          <w:color w:val="01ADAB" w:themeColor="accent4"/>
          <w:sz w:val="28"/>
          <w:szCs w:val="28"/>
        </w:rPr>
        <w:t xml:space="preserve"> of Reimbursement</w:t>
      </w:r>
    </w:p>
    <w:p w14:paraId="0D0DC3CD" w14:textId="53B5CD7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C6397">
        <w:rPr>
          <w:color w:val="595959" w:themeColor="text1" w:themeTint="A6"/>
        </w:rPr>
        <w:t>July 7</w:t>
      </w:r>
      <w:r w:rsidR="006C6397" w:rsidRPr="006C6397">
        <w:rPr>
          <w:color w:val="595959" w:themeColor="text1" w:themeTint="A6"/>
          <w:vertAlign w:val="superscript"/>
        </w:rPr>
        <w:t>th</w:t>
      </w:r>
      <w:r w:rsidR="006C6397">
        <w:rPr>
          <w:color w:val="595959" w:themeColor="text1" w:themeTint="A6"/>
        </w:rPr>
        <w:t>, 14</w:t>
      </w:r>
      <w:r w:rsidR="006C6397" w:rsidRPr="006C6397">
        <w:rPr>
          <w:color w:val="595959" w:themeColor="text1" w:themeTint="A6"/>
          <w:vertAlign w:val="superscript"/>
        </w:rPr>
        <w:t>th</w:t>
      </w:r>
      <w:r w:rsidR="006C6397">
        <w:rPr>
          <w:color w:val="595959" w:themeColor="text1" w:themeTint="A6"/>
        </w:rPr>
        <w:t>, and 21</w:t>
      </w:r>
      <w:r w:rsidR="006C6397" w:rsidRPr="006C6397">
        <w:rPr>
          <w:color w:val="595959" w:themeColor="text1" w:themeTint="A6"/>
          <w:vertAlign w:val="superscript"/>
        </w:rPr>
        <w:t>st</w:t>
      </w:r>
      <w:r w:rsidR="006C6397">
        <w:rPr>
          <w:color w:val="595959" w:themeColor="text1" w:themeTint="A6"/>
        </w:rPr>
        <w:t>, of 2022</w:t>
      </w:r>
    </w:p>
    <w:p w14:paraId="641D3E3A" w14:textId="4FCCBFB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C6397">
        <w:rPr>
          <w:color w:val="595959" w:themeColor="text1" w:themeTint="A6"/>
        </w:rPr>
        <w:t>Gretchen Brummel</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8D0C3F7"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3107D">
        <w:rPr>
          <w:rFonts w:cs="Arial"/>
          <w:b/>
          <w:color w:val="595959" w:themeColor="text1" w:themeTint="A6"/>
          <w:szCs w:val="20"/>
        </w:rPr>
        <w:t>the dates below for each session</w:t>
      </w:r>
      <w:r w:rsidR="00BE7633">
        <w:rPr>
          <w:rFonts w:cs="Arial"/>
          <w:b/>
          <w:color w:val="595959" w:themeColor="text1" w:themeTint="A6"/>
          <w:szCs w:val="20"/>
        </w:rPr>
        <w:t>.</w:t>
      </w:r>
    </w:p>
    <w:p w14:paraId="4BFA84C4" w14:textId="64C42938" w:rsidR="0053107D" w:rsidRDefault="0053107D" w:rsidP="0053107D"/>
    <w:tbl>
      <w:tblPr>
        <w:tblStyle w:val="TableGrid"/>
        <w:tblW w:w="0" w:type="auto"/>
        <w:tblLook w:val="04A0" w:firstRow="1" w:lastRow="0" w:firstColumn="1" w:lastColumn="0" w:noHBand="0" w:noVBand="1"/>
      </w:tblPr>
      <w:tblGrid>
        <w:gridCol w:w="8365"/>
        <w:gridCol w:w="1550"/>
      </w:tblGrid>
      <w:tr w:rsidR="0053107D" w14:paraId="5234E07D" w14:textId="77777777" w:rsidTr="00E67A2F">
        <w:tc>
          <w:tcPr>
            <w:tcW w:w="8365" w:type="dxa"/>
            <w:tcBorders>
              <w:top w:val="single" w:sz="4" w:space="0" w:color="auto"/>
              <w:left w:val="single" w:sz="4" w:space="0" w:color="auto"/>
              <w:bottom w:val="single" w:sz="4" w:space="0" w:color="auto"/>
              <w:right w:val="single" w:sz="4" w:space="0" w:color="auto"/>
            </w:tcBorders>
            <w:hideMark/>
          </w:tcPr>
          <w:p w14:paraId="281B8E63" w14:textId="77777777" w:rsidR="0053107D" w:rsidRDefault="0053107D" w:rsidP="00CE68C4">
            <w:pPr>
              <w:pStyle w:val="Heading"/>
            </w:pPr>
            <w:bookmarkStart w:id="0" w:name="_Hlk104456756"/>
            <w:r>
              <w:rPr>
                <w:rStyle w:val="IntenseReference"/>
                <w:b/>
                <w:bCs/>
              </w:rPr>
              <w:t>Course title and date</w:t>
            </w:r>
          </w:p>
        </w:tc>
        <w:tc>
          <w:tcPr>
            <w:tcW w:w="265" w:type="dxa"/>
            <w:tcBorders>
              <w:top w:val="single" w:sz="4" w:space="0" w:color="auto"/>
              <w:left w:val="single" w:sz="4" w:space="0" w:color="auto"/>
              <w:bottom w:val="single" w:sz="4" w:space="0" w:color="auto"/>
              <w:right w:val="single" w:sz="4" w:space="0" w:color="auto"/>
            </w:tcBorders>
            <w:hideMark/>
          </w:tcPr>
          <w:p w14:paraId="44322150" w14:textId="5C79C035" w:rsidR="0053107D" w:rsidRPr="004B078B" w:rsidRDefault="004B078B">
            <w:pPr>
              <w:rPr>
                <w:rFonts w:cs="Arial"/>
                <w:b/>
                <w:bCs/>
                <w:color w:val="808080" w:themeColor="background1" w:themeShade="80"/>
                <w:szCs w:val="20"/>
              </w:rPr>
            </w:pPr>
            <w:r w:rsidRPr="004B078B">
              <w:rPr>
                <w:rFonts w:cs="Arial"/>
                <w:b/>
                <w:bCs/>
                <w:color w:val="808080" w:themeColor="background1" w:themeShade="80"/>
                <w:szCs w:val="20"/>
              </w:rPr>
              <w:t>DATE OF C</w:t>
            </w:r>
            <w:r w:rsidR="00E67A2F">
              <w:rPr>
                <w:rFonts w:cs="Arial"/>
                <w:b/>
                <w:bCs/>
                <w:color w:val="808080" w:themeColor="background1" w:themeShade="80"/>
                <w:szCs w:val="20"/>
              </w:rPr>
              <w:t>O</w:t>
            </w:r>
            <w:r w:rsidRPr="004B078B">
              <w:rPr>
                <w:rFonts w:cs="Arial"/>
                <w:b/>
                <w:bCs/>
                <w:color w:val="808080" w:themeColor="background1" w:themeShade="80"/>
                <w:szCs w:val="20"/>
              </w:rPr>
              <w:t>MPLETION</w:t>
            </w:r>
          </w:p>
        </w:tc>
      </w:tr>
      <w:tr w:rsidR="0053107D" w14:paraId="5C3B792D" w14:textId="77777777" w:rsidTr="00E67A2F">
        <w:tc>
          <w:tcPr>
            <w:tcW w:w="8365" w:type="dxa"/>
            <w:tcBorders>
              <w:top w:val="single" w:sz="4" w:space="0" w:color="auto"/>
              <w:left w:val="single" w:sz="4" w:space="0" w:color="auto"/>
              <w:bottom w:val="single" w:sz="4" w:space="0" w:color="auto"/>
              <w:right w:val="single" w:sz="4" w:space="0" w:color="auto"/>
            </w:tcBorders>
            <w:hideMark/>
          </w:tcPr>
          <w:p w14:paraId="519500DD" w14:textId="6088869A" w:rsidR="0053107D" w:rsidRPr="00E67A2F" w:rsidRDefault="0053107D" w:rsidP="00CE68C4">
            <w:pPr>
              <w:pStyle w:val="Heading"/>
              <w:rPr>
                <w:b w:val="0"/>
                <w:bCs w:val="0"/>
                <w:smallCaps/>
                <w:color w:val="FF4E00" w:themeColor="accent1"/>
                <w:spacing w:val="5"/>
              </w:rPr>
            </w:pPr>
            <w:r w:rsidRPr="00CE68C4">
              <w:rPr>
                <w:rStyle w:val="IntenseReference"/>
                <w:smallCaps w:val="0"/>
              </w:rPr>
              <w:t>7/7/2022</w:t>
            </w:r>
            <w:r w:rsidR="00E67A2F">
              <w:rPr>
                <w:rStyle w:val="IntenseReference"/>
                <w:smallCaps w:val="0"/>
              </w:rPr>
              <w:t xml:space="preserve"> </w:t>
            </w:r>
            <w:r w:rsidR="00E67A2F">
              <w:rPr>
                <w:rStyle w:val="IntenseReference"/>
              </w:rPr>
              <w:t xml:space="preserve">– </w:t>
            </w:r>
            <w:r w:rsidRPr="00CE68C4">
              <w:rPr>
                <w:rStyle w:val="IntenseReference"/>
                <w:smallCaps w:val="0"/>
              </w:rPr>
              <w:t xml:space="preserve">Reimbursement Series: The ABC &amp; </w:t>
            </w:r>
            <w:proofErr w:type="gramStart"/>
            <w:r w:rsidRPr="00CE68C4">
              <w:rPr>
                <w:rStyle w:val="IntenseReference"/>
                <w:smallCaps w:val="0"/>
              </w:rPr>
              <w:t>D’s</w:t>
            </w:r>
            <w:proofErr w:type="gramEnd"/>
            <w:r w:rsidRPr="00CE68C4">
              <w:rPr>
                <w:rStyle w:val="IntenseReference"/>
                <w:smallCaps w:val="0"/>
              </w:rPr>
              <w:t xml:space="preserve"> of Reimbursement – Part A</w:t>
            </w:r>
          </w:p>
        </w:tc>
        <w:tc>
          <w:tcPr>
            <w:tcW w:w="265" w:type="dxa"/>
            <w:tcBorders>
              <w:top w:val="single" w:sz="4" w:space="0" w:color="auto"/>
              <w:left w:val="single" w:sz="4" w:space="0" w:color="auto"/>
              <w:bottom w:val="single" w:sz="4" w:space="0" w:color="auto"/>
              <w:right w:val="single" w:sz="4" w:space="0" w:color="auto"/>
            </w:tcBorders>
          </w:tcPr>
          <w:p w14:paraId="27372D06" w14:textId="77777777" w:rsidR="0053107D" w:rsidRDefault="0053107D">
            <w:pPr>
              <w:rPr>
                <w:rFonts w:cs="Arial"/>
                <w:color w:val="808080" w:themeColor="background1" w:themeShade="80"/>
                <w:szCs w:val="20"/>
              </w:rPr>
            </w:pPr>
            <w:r>
              <w:rPr>
                <w:rFonts w:cs="Arial"/>
                <w:color w:val="808080" w:themeColor="background1" w:themeShade="80"/>
                <w:szCs w:val="20"/>
              </w:rPr>
              <w:t>8/21/2022</w:t>
            </w:r>
          </w:p>
          <w:p w14:paraId="5C4EF5E0" w14:textId="0AC6FEDF" w:rsidR="0053107D" w:rsidRDefault="0053107D">
            <w:pPr>
              <w:rPr>
                <w:rFonts w:cs="Arial"/>
                <w:color w:val="808080" w:themeColor="background1" w:themeShade="80"/>
                <w:szCs w:val="20"/>
              </w:rPr>
            </w:pPr>
          </w:p>
        </w:tc>
      </w:tr>
      <w:tr w:rsidR="0053107D" w14:paraId="0FC883E8" w14:textId="77777777" w:rsidTr="00E67A2F">
        <w:tc>
          <w:tcPr>
            <w:tcW w:w="8365" w:type="dxa"/>
            <w:tcBorders>
              <w:top w:val="single" w:sz="4" w:space="0" w:color="auto"/>
              <w:left w:val="single" w:sz="4" w:space="0" w:color="auto"/>
              <w:bottom w:val="single" w:sz="4" w:space="0" w:color="auto"/>
              <w:right w:val="single" w:sz="4" w:space="0" w:color="auto"/>
            </w:tcBorders>
            <w:hideMark/>
          </w:tcPr>
          <w:p w14:paraId="70A49547" w14:textId="77777777" w:rsidR="0053107D" w:rsidRPr="00CE68C4" w:rsidRDefault="0053107D" w:rsidP="00CE68C4">
            <w:pPr>
              <w:pStyle w:val="Heading"/>
              <w:rPr>
                <w:smallCaps/>
              </w:rPr>
            </w:pPr>
            <w:r w:rsidRPr="00CE68C4">
              <w:rPr>
                <w:rStyle w:val="IntenseReference"/>
                <w:smallCaps w:val="0"/>
              </w:rPr>
              <w:t xml:space="preserve">7/14/2022 – Reimbursement Series: The ABC &amp; </w:t>
            </w:r>
            <w:proofErr w:type="gramStart"/>
            <w:r w:rsidRPr="00CE68C4">
              <w:rPr>
                <w:rStyle w:val="IntenseReference"/>
                <w:smallCaps w:val="0"/>
              </w:rPr>
              <w:t>D’s</w:t>
            </w:r>
            <w:proofErr w:type="gramEnd"/>
            <w:r w:rsidRPr="00CE68C4">
              <w:rPr>
                <w:rStyle w:val="IntenseReference"/>
                <w:smallCaps w:val="0"/>
              </w:rPr>
              <w:t xml:space="preserve"> of reimbursement – Part D</w:t>
            </w:r>
          </w:p>
        </w:tc>
        <w:tc>
          <w:tcPr>
            <w:tcW w:w="265" w:type="dxa"/>
            <w:tcBorders>
              <w:top w:val="single" w:sz="4" w:space="0" w:color="auto"/>
              <w:left w:val="single" w:sz="4" w:space="0" w:color="auto"/>
              <w:bottom w:val="single" w:sz="4" w:space="0" w:color="auto"/>
              <w:right w:val="single" w:sz="4" w:space="0" w:color="auto"/>
            </w:tcBorders>
          </w:tcPr>
          <w:p w14:paraId="3FF0D45A" w14:textId="77777777" w:rsidR="0053107D" w:rsidRDefault="0053107D">
            <w:pPr>
              <w:rPr>
                <w:rFonts w:cs="Arial"/>
                <w:color w:val="808080" w:themeColor="background1" w:themeShade="80"/>
                <w:szCs w:val="20"/>
              </w:rPr>
            </w:pPr>
            <w:r>
              <w:rPr>
                <w:rFonts w:cs="Arial"/>
                <w:color w:val="808080" w:themeColor="background1" w:themeShade="80"/>
                <w:szCs w:val="20"/>
              </w:rPr>
              <w:t>8/28/2022</w:t>
            </w:r>
          </w:p>
          <w:p w14:paraId="74FFAE24" w14:textId="150F59F0" w:rsidR="0053107D" w:rsidRDefault="0053107D">
            <w:pPr>
              <w:rPr>
                <w:rFonts w:cs="Arial"/>
                <w:color w:val="808080" w:themeColor="background1" w:themeShade="80"/>
                <w:szCs w:val="20"/>
              </w:rPr>
            </w:pPr>
          </w:p>
        </w:tc>
      </w:tr>
      <w:tr w:rsidR="0053107D" w14:paraId="24052EA3" w14:textId="77777777" w:rsidTr="00E67A2F">
        <w:tc>
          <w:tcPr>
            <w:tcW w:w="8365" w:type="dxa"/>
            <w:tcBorders>
              <w:top w:val="single" w:sz="4" w:space="0" w:color="auto"/>
              <w:left w:val="single" w:sz="4" w:space="0" w:color="auto"/>
              <w:bottom w:val="single" w:sz="4" w:space="0" w:color="auto"/>
              <w:right w:val="single" w:sz="4" w:space="0" w:color="auto"/>
            </w:tcBorders>
            <w:hideMark/>
          </w:tcPr>
          <w:p w14:paraId="1A791341" w14:textId="77777777" w:rsidR="0053107D" w:rsidRPr="00CE68C4" w:rsidRDefault="0053107D" w:rsidP="00CE68C4">
            <w:pPr>
              <w:pStyle w:val="Heading"/>
              <w:rPr>
                <w:smallCaps/>
              </w:rPr>
            </w:pPr>
            <w:r w:rsidRPr="00CE68C4">
              <w:rPr>
                <w:rStyle w:val="IntenseReference"/>
                <w:smallCaps w:val="0"/>
              </w:rPr>
              <w:t xml:space="preserve">7/21/2022 – Reimbursement Series: The ABC &amp; </w:t>
            </w:r>
            <w:proofErr w:type="gramStart"/>
            <w:r w:rsidRPr="00CE68C4">
              <w:rPr>
                <w:rStyle w:val="IntenseReference"/>
                <w:smallCaps w:val="0"/>
              </w:rPr>
              <w:t>D’s</w:t>
            </w:r>
            <w:proofErr w:type="gramEnd"/>
            <w:r w:rsidRPr="00CE68C4">
              <w:rPr>
                <w:rStyle w:val="IntenseReference"/>
                <w:smallCaps w:val="0"/>
              </w:rPr>
              <w:t xml:space="preserve"> of Reimbursement – Part B and C</w:t>
            </w:r>
          </w:p>
        </w:tc>
        <w:tc>
          <w:tcPr>
            <w:tcW w:w="265" w:type="dxa"/>
            <w:tcBorders>
              <w:top w:val="single" w:sz="4" w:space="0" w:color="auto"/>
              <w:left w:val="single" w:sz="4" w:space="0" w:color="auto"/>
              <w:bottom w:val="single" w:sz="4" w:space="0" w:color="auto"/>
              <w:right w:val="single" w:sz="4" w:space="0" w:color="auto"/>
            </w:tcBorders>
          </w:tcPr>
          <w:p w14:paraId="31E47264" w14:textId="29AF52DE" w:rsidR="0053107D" w:rsidRDefault="0053107D">
            <w:pPr>
              <w:rPr>
                <w:rFonts w:cs="Arial"/>
                <w:color w:val="808080" w:themeColor="background1" w:themeShade="80"/>
                <w:szCs w:val="20"/>
              </w:rPr>
            </w:pPr>
            <w:r>
              <w:rPr>
                <w:rFonts w:cs="Arial"/>
                <w:color w:val="808080" w:themeColor="background1" w:themeShade="80"/>
                <w:szCs w:val="20"/>
              </w:rPr>
              <w:t>9/4/2022</w:t>
            </w:r>
          </w:p>
        </w:tc>
      </w:tr>
      <w:bookmarkEnd w:id="0"/>
    </w:tbl>
    <w:p w14:paraId="546E3743" w14:textId="77777777" w:rsidR="0053107D" w:rsidRPr="0053107D" w:rsidRDefault="0053107D" w:rsidP="0053107D"/>
    <w:p w14:paraId="03A41A56" w14:textId="4ECB5B55" w:rsidR="008730EB" w:rsidRPr="00145C63" w:rsidRDefault="008730EB" w:rsidP="008730EB">
      <w:pPr>
        <w:rPr>
          <w:rFonts w:cs="Arial"/>
          <w:color w:val="595959" w:themeColor="text1" w:themeTint="A6"/>
          <w:szCs w:val="20"/>
        </w:rPr>
      </w:pPr>
      <w:bookmarkStart w:id="1"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t>
      </w:r>
      <w:proofErr w:type="gramStart"/>
      <w:r w:rsidR="00535D5C">
        <w:rPr>
          <w:rFonts w:cs="Arial"/>
          <w:color w:val="595959" w:themeColor="text1" w:themeTint="A6"/>
          <w:szCs w:val="20"/>
        </w:rPr>
        <w:t>with the exception of</w:t>
      </w:r>
      <w:proofErr w:type="gramEnd"/>
      <w:r w:rsidR="00535D5C">
        <w:rPr>
          <w:rFonts w:cs="Arial"/>
          <w:color w:val="595959" w:themeColor="text1" w:themeTint="A6"/>
          <w:szCs w:val="20"/>
        </w:rPr>
        <w:t xml:space="preserve"> pharmacists and pharmacy technicians.)</w:t>
      </w:r>
    </w:p>
    <w:bookmarkEnd w:id="1"/>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18296C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2"/>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61B34612" w:rsid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7FD3A032" w14:textId="01B9695B" w:rsidR="001446B9" w:rsidRPr="004B078B" w:rsidRDefault="004B078B" w:rsidP="00CE68C4">
      <w:pPr>
        <w:pStyle w:val="Heading"/>
        <w:rPr>
          <w:rStyle w:val="Style1"/>
          <w:rFonts w:ascii="Arial" w:hAnsi="Arial"/>
          <w:color w:val="01ADAB" w:themeColor="accent4"/>
          <w:sz w:val="24"/>
          <w:szCs w:val="24"/>
        </w:rPr>
      </w:pPr>
      <w:bookmarkStart w:id="3" w:name="_Hlk104455764"/>
      <w:r>
        <w:rPr>
          <w:rStyle w:val="Style1"/>
          <w:rFonts w:ascii="Arial" w:hAnsi="Arial"/>
          <w:color w:val="01ADAB" w:themeColor="accent4"/>
          <w:sz w:val="24"/>
        </w:rPr>
        <w:t xml:space="preserve">7/7/2022 - </w:t>
      </w:r>
      <w:r w:rsidR="001446B9" w:rsidRPr="004B078B">
        <w:rPr>
          <w:rStyle w:val="Style1"/>
          <w:rFonts w:ascii="Arial" w:hAnsi="Arial"/>
          <w:color w:val="01ADAB" w:themeColor="accent4"/>
          <w:sz w:val="24"/>
          <w:szCs w:val="24"/>
        </w:rPr>
        <w:t xml:space="preserve">Reimbursement Series: The ABC &amp; </w:t>
      </w:r>
      <w:proofErr w:type="gramStart"/>
      <w:r w:rsidR="001446B9" w:rsidRPr="004B078B">
        <w:rPr>
          <w:rStyle w:val="Style1"/>
          <w:rFonts w:ascii="Arial" w:hAnsi="Arial"/>
          <w:color w:val="01ADAB" w:themeColor="accent4"/>
          <w:sz w:val="24"/>
          <w:szCs w:val="24"/>
        </w:rPr>
        <w:t>D’s</w:t>
      </w:r>
      <w:proofErr w:type="gramEnd"/>
      <w:r w:rsidR="001446B9" w:rsidRPr="004B078B">
        <w:rPr>
          <w:rStyle w:val="Style1"/>
          <w:rFonts w:ascii="Arial" w:hAnsi="Arial"/>
          <w:color w:val="01ADAB" w:themeColor="accent4"/>
          <w:sz w:val="24"/>
          <w:szCs w:val="24"/>
        </w:rPr>
        <w:t xml:space="preserve"> of Reimbursement – Part A</w:t>
      </w:r>
    </w:p>
    <w:bookmarkEnd w:id="3"/>
    <w:p w14:paraId="1FA8FB2C" w14:textId="77777777" w:rsidR="004B078B" w:rsidRPr="004B078B" w:rsidRDefault="004B078B" w:rsidP="004B078B">
      <w:pPr>
        <w:spacing w:after="120"/>
        <w:rPr>
          <w:rFonts w:cs="Arial"/>
          <w:b/>
          <w:color w:val="01ADAB"/>
          <w:szCs w:val="20"/>
        </w:rPr>
      </w:pPr>
      <w:r w:rsidRPr="004B078B">
        <w:rPr>
          <w:rFonts w:cs="Arial"/>
          <w:b/>
          <w:color w:val="01ADAB"/>
          <w:szCs w:val="20"/>
        </w:rPr>
        <w:t>At the completion of this activity pharmacists should be able to:</w:t>
      </w:r>
    </w:p>
    <w:p w14:paraId="69401A0C" w14:textId="3C385C51" w:rsidR="001446B9" w:rsidRPr="004B078B" w:rsidRDefault="001446B9" w:rsidP="00E075E0">
      <w:pPr>
        <w:pStyle w:val="BodyText1"/>
        <w:ind w:left="720"/>
      </w:pPr>
      <w:r w:rsidRPr="004B078B">
        <w:lastRenderedPageBreak/>
        <w:t>Discuss reimbursement from Centers for Medicare and Medicaid Services for new medications.</w:t>
      </w:r>
    </w:p>
    <w:p w14:paraId="3E0799D1" w14:textId="179B4F27" w:rsidR="00E075E0" w:rsidRPr="004B078B" w:rsidRDefault="00E075E0" w:rsidP="00E075E0">
      <w:pPr>
        <w:pStyle w:val="BodyText1"/>
        <w:ind w:left="720"/>
        <w:rPr>
          <w:rFonts w:ascii="Calibri" w:hAnsi="Calibri"/>
        </w:rPr>
      </w:pPr>
      <w:r w:rsidRPr="004B078B">
        <w:t xml:space="preserve">Identify ways to stay informed of new and changing NTAP drug payments that exist </w:t>
      </w:r>
    </w:p>
    <w:p w14:paraId="4AB4D5A3" w14:textId="77777777" w:rsidR="004B078B" w:rsidRPr="004B078B" w:rsidRDefault="004B078B" w:rsidP="004B078B">
      <w:pPr>
        <w:spacing w:after="120"/>
        <w:rPr>
          <w:rFonts w:cs="Arial"/>
          <w:b/>
          <w:color w:val="01ADAB"/>
          <w:szCs w:val="20"/>
        </w:rPr>
      </w:pPr>
      <w:bookmarkStart w:id="4" w:name="_Hlk104455781"/>
      <w:r w:rsidRPr="004B078B">
        <w:rPr>
          <w:rFonts w:cs="Arial"/>
          <w:b/>
          <w:color w:val="01ADAB"/>
          <w:szCs w:val="20"/>
        </w:rPr>
        <w:t>At the completion of this activity pharmacy technicians should be able to:</w:t>
      </w:r>
    </w:p>
    <w:p w14:paraId="16233E75" w14:textId="77777777" w:rsidR="004B078B" w:rsidRPr="004B078B" w:rsidRDefault="004B078B" w:rsidP="004B078B">
      <w:pPr>
        <w:pStyle w:val="BodyText1"/>
        <w:ind w:left="720"/>
      </w:pPr>
      <w:r w:rsidRPr="004B078B">
        <w:t>Recall the purpose of NTAP drug payments in the Inpatient Prospective Payment System (IPPS) and the requirements for eligibility</w:t>
      </w:r>
    </w:p>
    <w:p w14:paraId="3636D087" w14:textId="349C476B" w:rsidR="004B078B" w:rsidRDefault="004B078B" w:rsidP="00CE68C4">
      <w:pPr>
        <w:pStyle w:val="Heading"/>
        <w:rPr>
          <w:rStyle w:val="Style1"/>
          <w:rFonts w:ascii="Arial" w:hAnsi="Arial"/>
          <w:b w:val="0"/>
          <w:bCs w:val="0"/>
          <w:color w:val="01ADAB" w:themeColor="accent4"/>
        </w:rPr>
      </w:pPr>
    </w:p>
    <w:p w14:paraId="74B5A7A8" w14:textId="202C537B" w:rsidR="001446B9" w:rsidRPr="004B078B" w:rsidRDefault="004B078B" w:rsidP="00CE68C4">
      <w:pPr>
        <w:pStyle w:val="Heading"/>
        <w:rPr>
          <w:rStyle w:val="Style1"/>
          <w:rFonts w:ascii="Arial" w:hAnsi="Arial"/>
          <w:color w:val="01ADAB" w:themeColor="accent4"/>
          <w:sz w:val="24"/>
          <w:szCs w:val="24"/>
        </w:rPr>
      </w:pPr>
      <w:r>
        <w:rPr>
          <w:rStyle w:val="Style1"/>
          <w:rFonts w:ascii="Arial" w:hAnsi="Arial"/>
          <w:color w:val="01ADAB" w:themeColor="accent4"/>
          <w:sz w:val="24"/>
        </w:rPr>
        <w:t xml:space="preserve">7/14/2022 - </w:t>
      </w:r>
      <w:r w:rsidR="001446B9" w:rsidRPr="004B078B">
        <w:rPr>
          <w:rStyle w:val="Style1"/>
          <w:rFonts w:ascii="Arial" w:hAnsi="Arial"/>
          <w:color w:val="01ADAB" w:themeColor="accent4"/>
          <w:sz w:val="24"/>
          <w:szCs w:val="24"/>
        </w:rPr>
        <w:t xml:space="preserve">Reimbursement Series: The ABC &amp; </w:t>
      </w:r>
      <w:proofErr w:type="gramStart"/>
      <w:r w:rsidR="001446B9" w:rsidRPr="004B078B">
        <w:rPr>
          <w:rStyle w:val="Style1"/>
          <w:rFonts w:ascii="Arial" w:hAnsi="Arial"/>
          <w:color w:val="01ADAB" w:themeColor="accent4"/>
          <w:sz w:val="24"/>
          <w:szCs w:val="24"/>
        </w:rPr>
        <w:t>D’s</w:t>
      </w:r>
      <w:proofErr w:type="gramEnd"/>
      <w:r w:rsidR="001446B9" w:rsidRPr="004B078B">
        <w:rPr>
          <w:rStyle w:val="Style1"/>
          <w:rFonts w:ascii="Arial" w:hAnsi="Arial"/>
          <w:color w:val="01ADAB" w:themeColor="accent4"/>
          <w:sz w:val="24"/>
          <w:szCs w:val="24"/>
        </w:rPr>
        <w:t xml:space="preserve"> of Reimbursement – Part D</w:t>
      </w:r>
    </w:p>
    <w:bookmarkEnd w:id="4"/>
    <w:p w14:paraId="3F075B6E" w14:textId="77777777" w:rsidR="004B078B" w:rsidRPr="004B078B" w:rsidRDefault="004B078B" w:rsidP="004B078B">
      <w:pPr>
        <w:spacing w:after="120"/>
        <w:rPr>
          <w:rFonts w:cs="Arial"/>
          <w:b/>
          <w:color w:val="01ADAB"/>
          <w:szCs w:val="20"/>
        </w:rPr>
      </w:pPr>
      <w:r w:rsidRPr="004B078B">
        <w:rPr>
          <w:rFonts w:cs="Arial"/>
          <w:b/>
          <w:color w:val="01ADAB"/>
          <w:szCs w:val="20"/>
        </w:rPr>
        <w:t>At the completion of this activity pharmacists should be able to:</w:t>
      </w:r>
    </w:p>
    <w:p w14:paraId="6151EA3F" w14:textId="5D52A05C" w:rsidR="00E075E0" w:rsidRPr="004B078B" w:rsidRDefault="00E075E0" w:rsidP="00E075E0">
      <w:pPr>
        <w:pStyle w:val="BodyText1"/>
        <w:ind w:left="720"/>
      </w:pPr>
      <w:r w:rsidRPr="004B078B">
        <w:t xml:space="preserve">Provide a basis for staff, new </w:t>
      </w:r>
      <w:proofErr w:type="gramStart"/>
      <w:r w:rsidRPr="004B078B">
        <w:t>practitioners</w:t>
      </w:r>
      <w:proofErr w:type="gramEnd"/>
      <w:r w:rsidRPr="004B078B">
        <w:t xml:space="preserve"> and clinicians to understand payment aspects of healthcare, a topic not often covered during their formative training</w:t>
      </w:r>
    </w:p>
    <w:p w14:paraId="45DEC236" w14:textId="0DCD74D3" w:rsidR="00E075E0" w:rsidRPr="004B078B" w:rsidRDefault="00E075E0" w:rsidP="00E075E0">
      <w:pPr>
        <w:pStyle w:val="BodyText1"/>
        <w:ind w:left="720"/>
      </w:pPr>
      <w:r w:rsidRPr="004B078B">
        <w:t>Identify drug payment/site of care requirements, where the information comes from and who’s responsible in a cross functional multidisciplinary approach to revenue cycle management</w:t>
      </w:r>
    </w:p>
    <w:p w14:paraId="7EFB557B" w14:textId="77777777" w:rsidR="004B078B" w:rsidRPr="004B078B" w:rsidRDefault="004B078B" w:rsidP="004B078B">
      <w:pPr>
        <w:spacing w:after="120"/>
        <w:rPr>
          <w:rFonts w:cs="Arial"/>
          <w:b/>
          <w:color w:val="01ADAB"/>
          <w:szCs w:val="20"/>
        </w:rPr>
      </w:pPr>
      <w:bookmarkStart w:id="5" w:name="_Hlk104455798"/>
      <w:r w:rsidRPr="004B078B">
        <w:rPr>
          <w:rFonts w:cs="Arial"/>
          <w:b/>
          <w:color w:val="01ADAB"/>
          <w:szCs w:val="20"/>
        </w:rPr>
        <w:t>At the completion of this activity pharmacy technicians should be able to:</w:t>
      </w:r>
    </w:p>
    <w:p w14:paraId="0100DA48" w14:textId="77777777" w:rsidR="004B078B" w:rsidRPr="004B078B" w:rsidRDefault="004B078B" w:rsidP="004B078B">
      <w:pPr>
        <w:pStyle w:val="BodyText1"/>
        <w:ind w:left="720"/>
      </w:pPr>
      <w:r w:rsidRPr="004B078B">
        <w:t>Identify what’s needed to get paid for a drug in 2022, where the information comes from and who’s responsible.</w:t>
      </w:r>
    </w:p>
    <w:p w14:paraId="1631D5E2" w14:textId="77777777" w:rsidR="004B078B" w:rsidRDefault="004B078B" w:rsidP="00CE68C4">
      <w:pPr>
        <w:pStyle w:val="Heading"/>
        <w:rPr>
          <w:rStyle w:val="Style1"/>
          <w:rFonts w:ascii="Arial" w:hAnsi="Arial"/>
          <w:b w:val="0"/>
          <w:bCs w:val="0"/>
          <w:color w:val="01ADAB" w:themeColor="accent4"/>
        </w:rPr>
      </w:pPr>
    </w:p>
    <w:p w14:paraId="77EDBDDB" w14:textId="0E31764F" w:rsidR="001446B9" w:rsidRPr="004B078B" w:rsidRDefault="004B078B" w:rsidP="00CE68C4">
      <w:pPr>
        <w:pStyle w:val="Heading"/>
      </w:pPr>
      <w:r>
        <w:rPr>
          <w:rStyle w:val="Style1"/>
          <w:rFonts w:ascii="Arial" w:hAnsi="Arial"/>
          <w:color w:val="01ADAB" w:themeColor="accent4"/>
          <w:sz w:val="24"/>
        </w:rPr>
        <w:t xml:space="preserve">7/21/2022 - </w:t>
      </w:r>
      <w:r w:rsidR="001446B9" w:rsidRPr="004B078B">
        <w:rPr>
          <w:rStyle w:val="Style1"/>
          <w:rFonts w:ascii="Arial" w:hAnsi="Arial"/>
          <w:color w:val="01ADAB" w:themeColor="accent4"/>
          <w:sz w:val="24"/>
          <w:szCs w:val="24"/>
        </w:rPr>
        <w:t xml:space="preserve">Reimbursement Series: The ABC &amp; </w:t>
      </w:r>
      <w:proofErr w:type="gramStart"/>
      <w:r w:rsidR="001446B9" w:rsidRPr="004B078B">
        <w:rPr>
          <w:rStyle w:val="Style1"/>
          <w:rFonts w:ascii="Arial" w:hAnsi="Arial"/>
          <w:color w:val="01ADAB" w:themeColor="accent4"/>
          <w:sz w:val="24"/>
          <w:szCs w:val="24"/>
        </w:rPr>
        <w:t>D’s</w:t>
      </w:r>
      <w:proofErr w:type="gramEnd"/>
      <w:r w:rsidR="001446B9" w:rsidRPr="004B078B">
        <w:rPr>
          <w:rStyle w:val="Style1"/>
          <w:rFonts w:ascii="Arial" w:hAnsi="Arial"/>
          <w:color w:val="01ADAB" w:themeColor="accent4"/>
          <w:sz w:val="24"/>
          <w:szCs w:val="24"/>
        </w:rPr>
        <w:t xml:space="preserve"> of Reimbursement – </w:t>
      </w:r>
      <w:r w:rsidR="00E075E0" w:rsidRPr="004B078B">
        <w:t>Part B and C</w:t>
      </w:r>
    </w:p>
    <w:bookmarkEnd w:id="5"/>
    <w:p w14:paraId="184B6687" w14:textId="77777777" w:rsidR="004B078B" w:rsidRPr="004B078B" w:rsidRDefault="004B078B" w:rsidP="004B078B">
      <w:pPr>
        <w:spacing w:after="120"/>
        <w:rPr>
          <w:rFonts w:cs="Arial"/>
          <w:b/>
          <w:color w:val="01ADAB"/>
          <w:szCs w:val="20"/>
        </w:rPr>
      </w:pPr>
      <w:r w:rsidRPr="004B078B">
        <w:rPr>
          <w:rFonts w:cs="Arial"/>
          <w:b/>
          <w:color w:val="01ADAB"/>
          <w:szCs w:val="20"/>
        </w:rPr>
        <w:t>At the completion of this activity pharmacists should be able to:</w:t>
      </w:r>
    </w:p>
    <w:p w14:paraId="447884AD" w14:textId="70863097" w:rsidR="001446B9" w:rsidRPr="004B078B" w:rsidRDefault="00E075E0" w:rsidP="00E075E0">
      <w:pPr>
        <w:spacing w:after="120"/>
        <w:ind w:firstLine="720"/>
        <w:rPr>
          <w:rFonts w:asciiTheme="minorHAnsi" w:eastAsia="Calibri" w:hAnsiTheme="minorHAnsi" w:cstheme="minorHAnsi"/>
          <w:color w:val="696969" w:themeColor="text2"/>
          <w:szCs w:val="20"/>
        </w:rPr>
      </w:pPr>
      <w:r w:rsidRPr="004B078B">
        <w:rPr>
          <w:rFonts w:asciiTheme="minorHAnsi" w:eastAsia="Calibri" w:hAnsiTheme="minorHAnsi" w:cstheme="minorHAnsi"/>
          <w:color w:val="696969" w:themeColor="text2"/>
          <w:szCs w:val="20"/>
        </w:rPr>
        <w:t>Describe the medication reimbursement process in specific site of care in the outpatient setting</w:t>
      </w:r>
    </w:p>
    <w:p w14:paraId="67031434" w14:textId="6D34F427" w:rsidR="00E075E0" w:rsidRPr="004B078B" w:rsidRDefault="00E075E0" w:rsidP="00E075E0">
      <w:pPr>
        <w:spacing w:after="120"/>
        <w:ind w:firstLine="720"/>
        <w:rPr>
          <w:rFonts w:asciiTheme="minorHAnsi" w:eastAsia="Calibri" w:hAnsiTheme="minorHAnsi" w:cstheme="minorHAnsi"/>
          <w:color w:val="696969" w:themeColor="text2"/>
          <w:szCs w:val="20"/>
        </w:rPr>
      </w:pPr>
      <w:r w:rsidRPr="004B078B">
        <w:rPr>
          <w:rFonts w:asciiTheme="minorHAnsi" w:eastAsia="Calibri" w:hAnsiTheme="minorHAnsi" w:cstheme="minorHAnsi"/>
          <w:color w:val="696969" w:themeColor="text2"/>
          <w:szCs w:val="20"/>
        </w:rPr>
        <w:t>Review example medication reimbursement in outpatient retail/specialty settings</w:t>
      </w:r>
    </w:p>
    <w:p w14:paraId="12061A71" w14:textId="77777777" w:rsidR="004B078B" w:rsidRPr="004B078B" w:rsidRDefault="004B078B" w:rsidP="004B078B">
      <w:pPr>
        <w:spacing w:after="120"/>
        <w:rPr>
          <w:rFonts w:cs="Arial"/>
          <w:b/>
          <w:color w:val="01ADAB"/>
          <w:szCs w:val="20"/>
        </w:rPr>
      </w:pPr>
      <w:r w:rsidRPr="004B078B">
        <w:rPr>
          <w:rFonts w:cs="Arial"/>
          <w:b/>
          <w:color w:val="01ADAB"/>
          <w:szCs w:val="20"/>
        </w:rPr>
        <w:t>At the completion of this activity pharmacy technicians should be able to:</w:t>
      </w:r>
    </w:p>
    <w:p w14:paraId="6F52B241" w14:textId="29AB9C83" w:rsidR="004B078B" w:rsidRDefault="004B078B" w:rsidP="004B078B">
      <w:pPr>
        <w:pStyle w:val="BodyText1"/>
        <w:ind w:firstLine="720"/>
      </w:pPr>
      <w:r w:rsidRPr="004B078B">
        <w:t>Describe the medication reimbursement process in specific site of care in the outpatient setting</w:t>
      </w:r>
    </w:p>
    <w:p w14:paraId="37A025C8" w14:textId="45CF9B47" w:rsidR="004B078B" w:rsidRDefault="004B078B" w:rsidP="004B078B">
      <w:pPr>
        <w:pStyle w:val="BodyText1"/>
        <w:ind w:firstLine="720"/>
      </w:pPr>
    </w:p>
    <w:p w14:paraId="4884CD75" w14:textId="29CAD31A" w:rsidR="00E67A2F" w:rsidRDefault="00E67A2F" w:rsidP="004B078B">
      <w:pPr>
        <w:pStyle w:val="BodyText1"/>
        <w:ind w:firstLine="720"/>
      </w:pPr>
    </w:p>
    <w:p w14:paraId="65115EDD" w14:textId="66713CFE" w:rsidR="00E67A2F" w:rsidRDefault="00E67A2F" w:rsidP="004B078B">
      <w:pPr>
        <w:pStyle w:val="BodyText1"/>
        <w:ind w:firstLine="720"/>
      </w:pPr>
    </w:p>
    <w:p w14:paraId="213DCE04" w14:textId="5B153EF3" w:rsidR="00E67A2F" w:rsidRDefault="00E67A2F" w:rsidP="004B078B">
      <w:pPr>
        <w:pStyle w:val="BodyText1"/>
        <w:ind w:firstLine="720"/>
      </w:pPr>
    </w:p>
    <w:p w14:paraId="591CE5C4" w14:textId="44A762D9" w:rsidR="00E67A2F" w:rsidRDefault="00E67A2F" w:rsidP="004B078B">
      <w:pPr>
        <w:pStyle w:val="BodyText1"/>
        <w:ind w:firstLine="720"/>
      </w:pPr>
    </w:p>
    <w:p w14:paraId="64880615" w14:textId="515E3902" w:rsidR="00E67A2F" w:rsidRDefault="00E67A2F" w:rsidP="004B078B">
      <w:pPr>
        <w:pStyle w:val="BodyText1"/>
        <w:ind w:firstLine="720"/>
      </w:pPr>
    </w:p>
    <w:p w14:paraId="26BDD25A" w14:textId="5B3B8B41" w:rsidR="00E67A2F" w:rsidRDefault="00E67A2F" w:rsidP="004B078B">
      <w:pPr>
        <w:pStyle w:val="BodyText1"/>
        <w:ind w:firstLine="720"/>
      </w:pPr>
    </w:p>
    <w:p w14:paraId="165A1E2C" w14:textId="1A44447F" w:rsidR="00E67A2F" w:rsidRDefault="00E67A2F" w:rsidP="004B078B">
      <w:pPr>
        <w:pStyle w:val="BodyText1"/>
        <w:ind w:firstLine="720"/>
      </w:pPr>
    </w:p>
    <w:p w14:paraId="48046CB1" w14:textId="77777777" w:rsidR="00E67A2F" w:rsidRPr="004B078B" w:rsidRDefault="00E67A2F" w:rsidP="004B078B">
      <w:pPr>
        <w:pStyle w:val="BodyText1"/>
        <w:ind w:firstLine="720"/>
      </w:pP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0B75BA22" w14:textId="77777777" w:rsidR="00CE68C4" w:rsidRDefault="00CE68C4" w:rsidP="00CE68C4">
      <w:pPr>
        <w:pStyle w:val="Heading"/>
        <w:rPr>
          <w:rStyle w:val="IntenseReference"/>
          <w:b/>
          <w:bCs/>
        </w:rPr>
      </w:pPr>
      <w:r>
        <w:rPr>
          <w:rStyle w:val="IntenseReference"/>
          <w:b/>
          <w:bCs/>
        </w:rPr>
        <w:t>7/7/2022 - Reimbursement Series: The ABC &amp; D’s of Reimbursement – Part A</w:t>
      </w:r>
    </w:p>
    <w:p w14:paraId="3E72641F" w14:textId="77777777" w:rsidR="00CE68C4" w:rsidRDefault="00CE68C4" w:rsidP="00CE68C4">
      <w:pPr>
        <w:pStyle w:val="Heading4"/>
        <w:rPr>
          <w:rFonts w:cs="Arial"/>
          <w:color w:val="595959" w:themeColor="text1" w:themeTint="A6"/>
        </w:rPr>
      </w:pPr>
      <w:r>
        <w:rPr>
          <w:rFonts w:cs="Arial"/>
          <w:color w:val="595959" w:themeColor="text1" w:themeTint="A6"/>
        </w:rPr>
        <w:t>PHARMACY</w:t>
      </w:r>
    </w:p>
    <w:p w14:paraId="4577D4D3" w14:textId="77777777" w:rsidR="00CE68C4" w:rsidRDefault="00CE68C4" w:rsidP="00CE68C4">
      <w:pPr>
        <w:rPr>
          <w:rFonts w:cs="Arial"/>
          <w:color w:val="595959" w:themeColor="text1" w:themeTint="A6"/>
        </w:rPr>
      </w:pPr>
      <w:r>
        <w:rPr>
          <w:rFonts w:cs="Arial"/>
          <w:color w:val="595959" w:themeColor="text1" w:themeTint="A6"/>
        </w:rPr>
        <w:t xml:space="preserve">Vizient, Inc. designates this activity for a maximum of 1.00 ACPE credit hours. </w:t>
      </w:r>
    </w:p>
    <w:p w14:paraId="212C7B25" w14:textId="295525C7" w:rsidR="00CE68C4" w:rsidRDefault="00CE68C4" w:rsidP="00CE68C4">
      <w:pPr>
        <w:rPr>
          <w:rFonts w:cs="Arial"/>
          <w:color w:val="595959" w:themeColor="text1" w:themeTint="A6"/>
        </w:rPr>
      </w:pPr>
      <w:bookmarkStart w:id="6" w:name="_Hlk104472140"/>
      <w:r>
        <w:rPr>
          <w:rFonts w:cs="Arial"/>
          <w:color w:val="595959" w:themeColor="text1" w:themeTint="A6"/>
        </w:rPr>
        <w:t>Universal Activity Number:</w:t>
      </w:r>
      <w:r w:rsidR="007D5AC5">
        <w:rPr>
          <w:rFonts w:cs="Arial"/>
          <w:color w:val="595959" w:themeColor="text1" w:themeTint="A6"/>
        </w:rPr>
        <w:t xml:space="preserve"> </w:t>
      </w:r>
      <w:r w:rsidR="007D5AC5" w:rsidRPr="007D5AC5">
        <w:rPr>
          <w:rFonts w:cs="Arial"/>
          <w:color w:val="595959" w:themeColor="text1" w:themeTint="A6"/>
        </w:rPr>
        <w:t>JA0006103-0000-22-020-L03-P</w:t>
      </w:r>
      <w:r>
        <w:rPr>
          <w:rFonts w:cs="Arial"/>
          <w:color w:val="595959" w:themeColor="text1" w:themeTint="A6"/>
        </w:rPr>
        <w:t xml:space="preserve"> </w:t>
      </w:r>
    </w:p>
    <w:p w14:paraId="427D01C6" w14:textId="224842C1" w:rsidR="00CE68C4" w:rsidRDefault="00CE68C4" w:rsidP="00CE68C4">
      <w:pPr>
        <w:rPr>
          <w:rFonts w:cs="Arial"/>
          <w:color w:val="595959" w:themeColor="text1" w:themeTint="A6"/>
        </w:rPr>
      </w:pPr>
      <w:r>
        <w:rPr>
          <w:rFonts w:cs="Arial"/>
          <w:color w:val="595959" w:themeColor="text1" w:themeTint="A6"/>
        </w:rPr>
        <w:t xml:space="preserve">Universal Activity Number: </w:t>
      </w:r>
      <w:r w:rsidR="007D5AC5" w:rsidRPr="007D5AC5">
        <w:rPr>
          <w:rFonts w:cs="Arial"/>
          <w:color w:val="595959" w:themeColor="text1" w:themeTint="A6"/>
        </w:rPr>
        <w:t>JA0006103-0000-22-020-L03-T</w:t>
      </w:r>
    </w:p>
    <w:bookmarkEnd w:id="6"/>
    <w:p w14:paraId="50B9DFC5" w14:textId="77777777" w:rsidR="00CE68C4" w:rsidRDefault="00CE68C4" w:rsidP="00CE68C4">
      <w:pPr>
        <w:rPr>
          <w:rFonts w:cs="Arial"/>
          <w:color w:val="595959" w:themeColor="text1" w:themeTint="A6"/>
        </w:rPr>
      </w:pPr>
    </w:p>
    <w:p w14:paraId="05CA766A" w14:textId="77777777" w:rsidR="00CE68C4" w:rsidRDefault="00CE68C4" w:rsidP="00CE68C4">
      <w:pPr>
        <w:pStyle w:val="Heading"/>
        <w:rPr>
          <w:rStyle w:val="IntenseReference"/>
          <w:b/>
          <w:bCs/>
        </w:rPr>
      </w:pPr>
      <w:r>
        <w:rPr>
          <w:rStyle w:val="IntenseReference"/>
          <w:b/>
          <w:bCs/>
        </w:rPr>
        <w:t>7/14/2022 – Reimbursement Series: The ABC &amp; D’s of Reimbursement – Part D</w:t>
      </w:r>
    </w:p>
    <w:p w14:paraId="432D7EEC" w14:textId="77777777" w:rsidR="00CE68C4" w:rsidRDefault="00CE68C4" w:rsidP="00CE68C4">
      <w:pPr>
        <w:pStyle w:val="Heading4"/>
        <w:rPr>
          <w:rFonts w:cs="Arial"/>
          <w:color w:val="595959" w:themeColor="text1" w:themeTint="A6"/>
        </w:rPr>
      </w:pPr>
      <w:r>
        <w:rPr>
          <w:rFonts w:cs="Arial"/>
          <w:color w:val="595959" w:themeColor="text1" w:themeTint="A6"/>
        </w:rPr>
        <w:t>PHARMACY</w:t>
      </w:r>
    </w:p>
    <w:p w14:paraId="436B0956" w14:textId="77777777" w:rsidR="00CE68C4" w:rsidRDefault="00CE68C4" w:rsidP="00CE68C4">
      <w:pPr>
        <w:rPr>
          <w:rFonts w:cs="Arial"/>
          <w:color w:val="595959" w:themeColor="text1" w:themeTint="A6"/>
        </w:rPr>
      </w:pPr>
      <w:r>
        <w:rPr>
          <w:rFonts w:cs="Arial"/>
          <w:color w:val="595959" w:themeColor="text1" w:themeTint="A6"/>
        </w:rPr>
        <w:t xml:space="preserve">Vizient, Inc. designates this activity for a maximum of 1.00 ACPE credit hours. </w:t>
      </w:r>
    </w:p>
    <w:p w14:paraId="2DA6FCE5" w14:textId="77777777" w:rsidR="007D5AC5" w:rsidRDefault="00CE68C4" w:rsidP="00CE68C4">
      <w:pPr>
        <w:rPr>
          <w:rFonts w:cs="Arial"/>
          <w:color w:val="595959" w:themeColor="text1" w:themeTint="A6"/>
        </w:rPr>
      </w:pPr>
      <w:bookmarkStart w:id="7" w:name="_Hlk104473030"/>
      <w:r>
        <w:rPr>
          <w:rFonts w:cs="Arial"/>
          <w:color w:val="595959" w:themeColor="text1" w:themeTint="A6"/>
        </w:rPr>
        <w:t xml:space="preserve">Universal Activity Number: </w:t>
      </w:r>
      <w:r w:rsidR="007D5AC5" w:rsidRPr="007D5AC5">
        <w:rPr>
          <w:rFonts w:cs="Arial"/>
          <w:color w:val="595959" w:themeColor="text1" w:themeTint="A6"/>
        </w:rPr>
        <w:t xml:space="preserve">JA0006103-0000-22-021-L03-P </w:t>
      </w:r>
    </w:p>
    <w:p w14:paraId="72E71D20" w14:textId="23C780B6" w:rsidR="00CE68C4" w:rsidRDefault="00CE68C4" w:rsidP="00CE68C4">
      <w:r>
        <w:rPr>
          <w:rFonts w:cs="Arial"/>
          <w:color w:val="595959" w:themeColor="text1" w:themeTint="A6"/>
        </w:rPr>
        <w:t xml:space="preserve">Universal Activity Number: </w:t>
      </w:r>
      <w:r w:rsidR="007D5AC5" w:rsidRPr="007D5AC5">
        <w:rPr>
          <w:rFonts w:cs="Arial"/>
          <w:color w:val="595959" w:themeColor="text1" w:themeTint="A6"/>
        </w:rPr>
        <w:t>JA0006103-0000-22-021-L03-T</w:t>
      </w:r>
    </w:p>
    <w:bookmarkEnd w:id="7"/>
    <w:p w14:paraId="27553775" w14:textId="77777777" w:rsidR="00CE68C4" w:rsidRDefault="00CE68C4" w:rsidP="00CE68C4"/>
    <w:p w14:paraId="0B3D4D76" w14:textId="77777777" w:rsidR="00CE68C4" w:rsidRDefault="00CE68C4" w:rsidP="00CE68C4">
      <w:pPr>
        <w:pStyle w:val="Heading"/>
        <w:rPr>
          <w:rStyle w:val="IntenseReference"/>
          <w:b/>
          <w:bCs/>
        </w:rPr>
      </w:pPr>
      <w:r>
        <w:rPr>
          <w:rStyle w:val="IntenseReference"/>
          <w:b/>
          <w:bCs/>
        </w:rPr>
        <w:t>7/21/2022 – Reimbursement Series: The ABC &amp; D’s of Reimbursement – Part B and C</w:t>
      </w:r>
    </w:p>
    <w:p w14:paraId="49D1660F" w14:textId="77777777" w:rsidR="00CE68C4" w:rsidRDefault="00CE68C4" w:rsidP="00CE68C4">
      <w:pPr>
        <w:pStyle w:val="Heading4"/>
        <w:rPr>
          <w:rFonts w:cs="Arial"/>
          <w:color w:val="595959" w:themeColor="text1" w:themeTint="A6"/>
        </w:rPr>
      </w:pPr>
      <w:r>
        <w:rPr>
          <w:rFonts w:cs="Arial"/>
          <w:color w:val="595959" w:themeColor="text1" w:themeTint="A6"/>
        </w:rPr>
        <w:t>PHARMACY</w:t>
      </w:r>
    </w:p>
    <w:p w14:paraId="01451E27" w14:textId="77777777" w:rsidR="00CE68C4" w:rsidRDefault="00CE68C4" w:rsidP="00CE68C4">
      <w:pPr>
        <w:rPr>
          <w:rFonts w:cs="Arial"/>
          <w:color w:val="595959" w:themeColor="text1" w:themeTint="A6"/>
        </w:rPr>
      </w:pPr>
      <w:r>
        <w:rPr>
          <w:rFonts w:cs="Arial"/>
          <w:color w:val="595959" w:themeColor="text1" w:themeTint="A6"/>
        </w:rPr>
        <w:t xml:space="preserve">Vizient, Inc. designates this activity for a maximum of 1.00 ACPE credit hours. </w:t>
      </w:r>
    </w:p>
    <w:p w14:paraId="53A26355" w14:textId="2B632D4B" w:rsidR="00CE68C4" w:rsidRDefault="00CE68C4" w:rsidP="00CE68C4">
      <w:pPr>
        <w:rPr>
          <w:rFonts w:cs="Arial"/>
          <w:color w:val="595959" w:themeColor="text1" w:themeTint="A6"/>
        </w:rPr>
      </w:pPr>
      <w:r>
        <w:rPr>
          <w:rFonts w:cs="Arial"/>
          <w:color w:val="595959" w:themeColor="text1" w:themeTint="A6"/>
        </w:rPr>
        <w:t>Universal Activity Number:</w:t>
      </w:r>
      <w:r w:rsidR="00CD5D9F" w:rsidRPr="00CD5D9F">
        <w:t xml:space="preserve"> </w:t>
      </w:r>
      <w:r w:rsidR="003A39F0" w:rsidRPr="003A39F0">
        <w:rPr>
          <w:rFonts w:cs="Arial"/>
          <w:color w:val="595959" w:themeColor="text1" w:themeTint="A6"/>
        </w:rPr>
        <w:t>JA0006103-0000-22-022-L03-P</w:t>
      </w:r>
    </w:p>
    <w:p w14:paraId="03BB320A" w14:textId="5CA8687A" w:rsidR="0053107D" w:rsidRDefault="00CE68C4" w:rsidP="003A39F0">
      <w:pPr>
        <w:rPr>
          <w:rFonts w:cs="Arial"/>
          <w:color w:val="595959" w:themeColor="text1" w:themeTint="A6"/>
        </w:rPr>
      </w:pPr>
      <w:r>
        <w:rPr>
          <w:rFonts w:cs="Arial"/>
          <w:color w:val="595959" w:themeColor="text1" w:themeTint="A6"/>
        </w:rPr>
        <w:t xml:space="preserve">Universal Activity Number: </w:t>
      </w:r>
      <w:r w:rsidR="003A39F0" w:rsidRPr="003A39F0">
        <w:rPr>
          <w:rFonts w:cs="Arial"/>
          <w:color w:val="595959" w:themeColor="text1" w:themeTint="A6"/>
        </w:rPr>
        <w:t>JA0006103-0000-22-022-L03-T</w:t>
      </w:r>
    </w:p>
    <w:p w14:paraId="43BD0030" w14:textId="77777777" w:rsidR="003A39F0" w:rsidRDefault="003A39F0" w:rsidP="003A39F0">
      <w:pPr>
        <w:rPr>
          <w:rFonts w:eastAsia="Times" w:cs="Arial"/>
          <w:b/>
          <w:color w:val="595959" w:themeColor="text1" w:themeTint="A6"/>
          <w:szCs w:val="20"/>
        </w:rPr>
      </w:pPr>
    </w:p>
    <w:p w14:paraId="4709E1C2" w14:textId="77777777" w:rsidR="0053107D" w:rsidRPr="00145C63" w:rsidRDefault="0053107D"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lastRenderedPageBreak/>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1EC0BABB" w14:textId="77777777" w:rsidR="006C6397" w:rsidRDefault="007A1399" w:rsidP="006C6397">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179AC0F0" w14:textId="76D9FCE2" w:rsidR="007A1399" w:rsidRDefault="007A1399" w:rsidP="006C6397">
      <w:pPr>
        <w:spacing w:after="160" w:line="259" w:lineRule="auto"/>
        <w:rPr>
          <w:rFonts w:eastAsia="Calibri" w:cs="Arial"/>
          <w:bCs/>
          <w:color w:val="696969" w:themeColor="accent6"/>
          <w:szCs w:val="20"/>
        </w:rPr>
      </w:pPr>
      <w:r w:rsidRPr="007A1399">
        <w:rPr>
          <w:rFonts w:eastAsia="Calibri" w:cs="Arial"/>
          <w:bCs/>
          <w:color w:val="696969" w:themeColor="accent6"/>
          <w:szCs w:val="20"/>
        </w:rPr>
        <w:t>None of the planners for this educational activity have relevant financial relationship(s) to disclose with ineligible companies whose primary business is producing, marketing, selling, re-selling, or distributing healthcare products used by or on patients.</w:t>
      </w:r>
    </w:p>
    <w:p w14:paraId="45F0839D" w14:textId="77777777" w:rsidR="00CE68C4" w:rsidRDefault="00CE68C4" w:rsidP="00CE68C4">
      <w:pPr>
        <w:pStyle w:val="Heading"/>
        <w:rPr>
          <w:rStyle w:val="IntenseReference"/>
          <w:b/>
          <w:bCs/>
        </w:rPr>
      </w:pPr>
      <w:r>
        <w:rPr>
          <w:rStyle w:val="IntenseReference"/>
          <w:b/>
          <w:bCs/>
        </w:rPr>
        <w:t>7/7/2022 - Reimbursement Series: The ABC &amp; D’s of Reimbursement – Part A</w:t>
      </w:r>
    </w:p>
    <w:p w14:paraId="1D2DCDC6" w14:textId="77777777"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r w:rsidRPr="006C6397">
        <w:rPr>
          <w:rFonts w:cs="Arial"/>
          <w:b/>
          <w:bCs/>
          <w:color w:val="696969" w:themeColor="text2"/>
        </w:rPr>
        <w:t>FACULTY/PRESENTERS</w:t>
      </w:r>
    </w:p>
    <w:p w14:paraId="0143DF61" w14:textId="77777777" w:rsidR="00E67A2F" w:rsidRDefault="00E67A2F" w:rsidP="00E67A2F">
      <w:pPr>
        <w:pStyle w:val="BodyText1"/>
        <w:spacing w:after="0" w:line="240" w:lineRule="auto"/>
        <w:rPr>
          <w:b/>
          <w:bCs/>
        </w:rPr>
        <w:sectPr w:rsidR="00E67A2F"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pPr>
    </w:p>
    <w:p w14:paraId="327E287A" w14:textId="24CA55A2" w:rsidR="00E67A2F" w:rsidRDefault="00E67A2F" w:rsidP="00E67A2F">
      <w:pPr>
        <w:pStyle w:val="BodyText1"/>
        <w:spacing w:after="0" w:line="240" w:lineRule="auto"/>
        <w:rPr>
          <w:b/>
          <w:bCs/>
        </w:rPr>
      </w:pPr>
    </w:p>
    <w:p w14:paraId="58CAF8C6" w14:textId="760B81C4" w:rsidR="00E67A2F" w:rsidRPr="00CB51C6" w:rsidRDefault="00E67A2F" w:rsidP="00E67A2F">
      <w:pPr>
        <w:pStyle w:val="BodyText1"/>
        <w:spacing w:after="0" w:line="240" w:lineRule="auto"/>
        <w:rPr>
          <w:b/>
          <w:bCs/>
        </w:rPr>
      </w:pPr>
      <w:r w:rsidRPr="00CB51C6">
        <w:rPr>
          <w:b/>
          <w:bCs/>
        </w:rPr>
        <w:t>Carolyn Liptak, MBA, RPh</w:t>
      </w:r>
    </w:p>
    <w:p w14:paraId="7DB6A6E8" w14:textId="77777777" w:rsidR="00E67A2F" w:rsidRPr="00D23A66" w:rsidRDefault="00E67A2F" w:rsidP="00E67A2F">
      <w:pPr>
        <w:pStyle w:val="BodyText1"/>
        <w:spacing w:after="0" w:line="240" w:lineRule="auto"/>
      </w:pPr>
      <w:r w:rsidRPr="00D23A66">
        <w:t>Pharmacy Executive Director</w:t>
      </w:r>
    </w:p>
    <w:p w14:paraId="632E1075" w14:textId="77777777" w:rsidR="00E67A2F" w:rsidRDefault="00E67A2F" w:rsidP="00E67A2F">
      <w:pPr>
        <w:pStyle w:val="BodyText1"/>
        <w:spacing w:after="0" w:line="240" w:lineRule="auto"/>
      </w:pPr>
      <w:r w:rsidRPr="00D23A66">
        <w:t>Vizient, Inc.</w:t>
      </w:r>
    </w:p>
    <w:p w14:paraId="44DDFFA7" w14:textId="77777777"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p>
    <w:p w14:paraId="521FD463" w14:textId="77777777"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p>
    <w:p w14:paraId="381187DC" w14:textId="77777777"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p>
    <w:p w14:paraId="77349728" w14:textId="77777777"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p>
    <w:p w14:paraId="521A0839" w14:textId="1395DC64"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r w:rsidRPr="006C6397">
        <w:rPr>
          <w:rFonts w:cs="Arial"/>
          <w:b/>
          <w:bCs/>
          <w:color w:val="696969" w:themeColor="text2"/>
        </w:rPr>
        <w:t>PLANNERS</w:t>
      </w:r>
      <w:r w:rsidRPr="006C6397">
        <w:rPr>
          <w:rFonts w:cs="Arial"/>
          <w:b/>
          <w:bCs/>
          <w:color w:val="696969" w:themeColor="text2"/>
        </w:rPr>
        <w:br/>
      </w:r>
    </w:p>
    <w:p w14:paraId="63D55089" w14:textId="13A5938B" w:rsidR="00E67A2F" w:rsidRPr="006C6397"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r w:rsidRPr="006C6397">
        <w:rPr>
          <w:rFonts w:cs="Arial"/>
          <w:b/>
          <w:bCs/>
          <w:color w:val="696969" w:themeColor="text2"/>
        </w:rPr>
        <w:t>Jackie Stokes, BS</w:t>
      </w:r>
    </w:p>
    <w:p w14:paraId="097F785B" w14:textId="77777777" w:rsidR="00E67A2F" w:rsidRDefault="00E67A2F" w:rsidP="00E67A2F">
      <w:pPr>
        <w:pStyle w:val="BodyText"/>
        <w:pBdr>
          <w:top w:val="none" w:sz="0" w:space="0" w:color="auto"/>
          <w:left w:val="none" w:sz="0" w:space="0" w:color="auto"/>
          <w:bottom w:val="none" w:sz="0" w:space="0" w:color="auto"/>
          <w:right w:val="none" w:sz="0" w:space="0" w:color="auto"/>
        </w:pBdr>
        <w:spacing w:line="276" w:lineRule="auto"/>
        <w:rPr>
          <w:rFonts w:cs="Arial"/>
          <w:color w:val="696969" w:themeColor="text2"/>
        </w:rPr>
      </w:pPr>
      <w:r>
        <w:rPr>
          <w:rFonts w:cs="Arial"/>
          <w:color w:val="696969" w:themeColor="text2"/>
        </w:rPr>
        <w:t xml:space="preserve">Manager, Pharmacy Program </w:t>
      </w:r>
    </w:p>
    <w:p w14:paraId="7A38F3B3" w14:textId="77777777" w:rsidR="00E67A2F" w:rsidRDefault="00E67A2F" w:rsidP="00E67A2F">
      <w:pPr>
        <w:spacing w:after="160" w:line="259" w:lineRule="auto"/>
        <w:rPr>
          <w:rFonts w:cs="Arial"/>
          <w:color w:val="696969" w:themeColor="text2"/>
          <w:szCs w:val="20"/>
        </w:rPr>
      </w:pPr>
      <w:r>
        <w:rPr>
          <w:rFonts w:cs="Arial"/>
          <w:color w:val="696969" w:themeColor="text2"/>
          <w:szCs w:val="20"/>
        </w:rPr>
        <w:t>Vizient, Inc.</w:t>
      </w:r>
    </w:p>
    <w:p w14:paraId="75EA2684" w14:textId="77777777" w:rsidR="00E67A2F" w:rsidRPr="006C6397" w:rsidRDefault="00E67A2F" w:rsidP="00E67A2F">
      <w:pPr>
        <w:pStyle w:val="BodyText"/>
        <w:pBdr>
          <w:top w:val="none" w:sz="0" w:space="0" w:color="auto"/>
          <w:left w:val="none" w:sz="0" w:space="0" w:color="auto"/>
          <w:bottom w:val="none" w:sz="0" w:space="0" w:color="auto"/>
          <w:right w:val="none" w:sz="0" w:space="0" w:color="auto"/>
        </w:pBdr>
        <w:spacing w:line="276" w:lineRule="auto"/>
        <w:rPr>
          <w:rFonts w:cs="Arial"/>
          <w:b/>
          <w:color w:val="696969" w:themeColor="text2"/>
        </w:rPr>
      </w:pPr>
      <w:r w:rsidRPr="006C6397">
        <w:rPr>
          <w:rFonts w:cs="Arial"/>
          <w:b/>
          <w:color w:val="696969" w:themeColor="text2"/>
        </w:rPr>
        <w:t>Gretchen Brummel, PharmD, BCPS</w:t>
      </w:r>
    </w:p>
    <w:p w14:paraId="32D485F9" w14:textId="77777777" w:rsidR="00E67A2F" w:rsidRPr="00D23A66" w:rsidRDefault="00E67A2F" w:rsidP="00E67A2F">
      <w:pPr>
        <w:pStyle w:val="BodyText"/>
        <w:pBdr>
          <w:top w:val="none" w:sz="0" w:space="0" w:color="auto"/>
          <w:left w:val="none" w:sz="0" w:space="0" w:color="auto"/>
          <w:bottom w:val="none" w:sz="0" w:space="0" w:color="auto"/>
          <w:right w:val="none" w:sz="0" w:space="0" w:color="auto"/>
        </w:pBdr>
        <w:spacing w:line="276" w:lineRule="auto"/>
        <w:rPr>
          <w:rFonts w:cs="Arial"/>
          <w:bCs/>
          <w:color w:val="696969" w:themeColor="text2"/>
        </w:rPr>
      </w:pPr>
      <w:r w:rsidRPr="00D23A66">
        <w:rPr>
          <w:rFonts w:cs="Arial"/>
          <w:bCs/>
          <w:color w:val="696969" w:themeColor="text2"/>
        </w:rPr>
        <w:t>Consulting Solutions Director</w:t>
      </w:r>
    </w:p>
    <w:p w14:paraId="1E246A37" w14:textId="77777777" w:rsidR="00E67A2F" w:rsidRPr="006C6397" w:rsidRDefault="00E67A2F" w:rsidP="00E67A2F">
      <w:pPr>
        <w:spacing w:after="160" w:line="259" w:lineRule="auto"/>
        <w:rPr>
          <w:rFonts w:eastAsia="Calibri" w:cs="Arial"/>
          <w:bCs/>
          <w:color w:val="FF4E00"/>
          <w:sz w:val="24"/>
        </w:rPr>
      </w:pPr>
      <w:r w:rsidRPr="00D23A66">
        <w:rPr>
          <w:rFonts w:cs="Arial"/>
          <w:bCs/>
          <w:color w:val="696969" w:themeColor="text2"/>
          <w:szCs w:val="20"/>
        </w:rPr>
        <w:t>Vizient, Inc.</w:t>
      </w:r>
    </w:p>
    <w:p w14:paraId="778F1BEC" w14:textId="77777777" w:rsidR="00E67A2F" w:rsidRDefault="00E67A2F" w:rsidP="00CE68C4">
      <w:pPr>
        <w:pStyle w:val="Heading"/>
        <w:rPr>
          <w:rStyle w:val="IntenseReference"/>
          <w:b/>
          <w:bCs/>
        </w:rPr>
        <w:sectPr w:rsidR="00E67A2F" w:rsidSect="00E67A2F">
          <w:type w:val="continuous"/>
          <w:pgSz w:w="12240" w:h="15840"/>
          <w:pgMar w:top="1440" w:right="1080" w:bottom="1440" w:left="1080" w:header="630" w:footer="965" w:gutter="0"/>
          <w:cols w:num="2" w:space="720"/>
          <w:docGrid w:linePitch="360"/>
        </w:sectPr>
      </w:pPr>
    </w:p>
    <w:p w14:paraId="6BEF22B7" w14:textId="23DD3035" w:rsidR="00E67A2F" w:rsidRDefault="00E67A2F" w:rsidP="00CE68C4">
      <w:pPr>
        <w:pStyle w:val="Heading"/>
        <w:rPr>
          <w:rStyle w:val="IntenseReference"/>
          <w:b/>
          <w:bCs/>
        </w:rPr>
      </w:pPr>
    </w:p>
    <w:p w14:paraId="36F5EFC8" w14:textId="19BC6804" w:rsidR="00CE68C4" w:rsidRDefault="00CE68C4" w:rsidP="00CE68C4">
      <w:pPr>
        <w:pStyle w:val="Heading"/>
        <w:rPr>
          <w:rStyle w:val="IntenseReference"/>
          <w:b/>
          <w:bCs/>
        </w:rPr>
      </w:pPr>
      <w:r>
        <w:rPr>
          <w:rStyle w:val="IntenseReference"/>
          <w:b/>
          <w:bCs/>
        </w:rPr>
        <w:t>7/14/2022 – Reimbursement Series: The ABC &amp; D’s of Reimbursement – Part D</w:t>
      </w:r>
    </w:p>
    <w:p w14:paraId="54CE5265" w14:textId="77777777"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sectPr w:rsidR="00E67A2F" w:rsidSect="00E67A2F">
          <w:type w:val="continuous"/>
          <w:pgSz w:w="12240" w:h="15840"/>
          <w:pgMar w:top="1440" w:right="1080" w:bottom="1440" w:left="1080" w:header="630" w:footer="965" w:gutter="0"/>
          <w:cols w:space="720"/>
          <w:docGrid w:linePitch="360"/>
        </w:sectPr>
      </w:pPr>
    </w:p>
    <w:p w14:paraId="013BF94E" w14:textId="3797C787"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r w:rsidRPr="006C6397">
        <w:rPr>
          <w:rFonts w:cs="Arial"/>
          <w:b/>
          <w:bCs/>
          <w:color w:val="696969" w:themeColor="text2"/>
        </w:rPr>
        <w:t>FACULTY/PRESENTERS</w:t>
      </w:r>
    </w:p>
    <w:p w14:paraId="45176888" w14:textId="77777777" w:rsidR="00E67A2F" w:rsidRDefault="00E67A2F" w:rsidP="00E67A2F">
      <w:pPr>
        <w:pStyle w:val="BodyText1"/>
        <w:spacing w:after="0" w:line="240" w:lineRule="auto"/>
        <w:rPr>
          <w:b/>
          <w:bCs/>
        </w:rPr>
      </w:pPr>
    </w:p>
    <w:p w14:paraId="1CF052B7" w14:textId="4BBA4C8C" w:rsidR="00E67A2F" w:rsidRPr="00CB51C6" w:rsidRDefault="00E67A2F" w:rsidP="00E67A2F">
      <w:pPr>
        <w:pStyle w:val="BodyText1"/>
        <w:spacing w:after="0" w:line="240" w:lineRule="auto"/>
        <w:rPr>
          <w:rFonts w:ascii="Calibri" w:hAnsi="Calibri"/>
          <w:b/>
          <w:bCs/>
          <w:szCs w:val="22"/>
        </w:rPr>
      </w:pPr>
      <w:r w:rsidRPr="00CB51C6">
        <w:rPr>
          <w:b/>
          <w:bCs/>
        </w:rPr>
        <w:t>Brian Hardy, MBA, RPh</w:t>
      </w:r>
    </w:p>
    <w:p w14:paraId="4AA1E742" w14:textId="77777777" w:rsidR="00E67A2F" w:rsidRDefault="00E67A2F" w:rsidP="00E67A2F">
      <w:pPr>
        <w:pStyle w:val="BodyText1"/>
        <w:spacing w:after="0" w:line="240" w:lineRule="auto"/>
      </w:pPr>
      <w:r>
        <w:t>AVP, Pharmacy Consulting</w:t>
      </w:r>
    </w:p>
    <w:p w14:paraId="4031B255" w14:textId="77777777" w:rsidR="00E67A2F" w:rsidRDefault="00E67A2F" w:rsidP="00E67A2F">
      <w:pPr>
        <w:pStyle w:val="BodyText1"/>
        <w:spacing w:after="0" w:line="240" w:lineRule="auto"/>
      </w:pPr>
      <w:r w:rsidRPr="00D23A66">
        <w:t>Vizient, Inc.</w:t>
      </w:r>
    </w:p>
    <w:p w14:paraId="04021A57" w14:textId="77777777"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p>
    <w:p w14:paraId="598D15C9" w14:textId="77777777"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p>
    <w:p w14:paraId="7FB4E983" w14:textId="77777777"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p>
    <w:p w14:paraId="572ACAF7" w14:textId="1489A613" w:rsidR="00E67A2F" w:rsidRPr="006C6397"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r w:rsidRPr="006C6397">
        <w:rPr>
          <w:rFonts w:cs="Arial"/>
          <w:b/>
          <w:bCs/>
          <w:color w:val="696969" w:themeColor="text2"/>
        </w:rPr>
        <w:t>PLANNERS</w:t>
      </w:r>
      <w:r w:rsidRPr="006C6397">
        <w:rPr>
          <w:rFonts w:cs="Arial"/>
          <w:b/>
          <w:bCs/>
          <w:color w:val="696969" w:themeColor="text2"/>
        </w:rPr>
        <w:br/>
      </w:r>
    </w:p>
    <w:p w14:paraId="1FB93E73" w14:textId="77777777" w:rsidR="00E67A2F" w:rsidRPr="006C6397"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r w:rsidRPr="006C6397">
        <w:rPr>
          <w:rFonts w:cs="Arial"/>
          <w:b/>
          <w:bCs/>
          <w:color w:val="696969" w:themeColor="text2"/>
        </w:rPr>
        <w:t>Jackie Stokes, BS</w:t>
      </w:r>
    </w:p>
    <w:p w14:paraId="209D77A7" w14:textId="77777777" w:rsidR="00E67A2F" w:rsidRDefault="00E67A2F" w:rsidP="00E67A2F">
      <w:pPr>
        <w:pStyle w:val="BodyText"/>
        <w:pBdr>
          <w:top w:val="none" w:sz="0" w:space="0" w:color="auto"/>
          <w:left w:val="none" w:sz="0" w:space="0" w:color="auto"/>
          <w:bottom w:val="none" w:sz="0" w:space="0" w:color="auto"/>
          <w:right w:val="none" w:sz="0" w:space="0" w:color="auto"/>
        </w:pBdr>
        <w:spacing w:line="276" w:lineRule="auto"/>
        <w:rPr>
          <w:rFonts w:cs="Arial"/>
          <w:color w:val="696969" w:themeColor="text2"/>
        </w:rPr>
      </w:pPr>
      <w:r>
        <w:rPr>
          <w:rFonts w:cs="Arial"/>
          <w:color w:val="696969" w:themeColor="text2"/>
        </w:rPr>
        <w:t xml:space="preserve">Manager, Pharmacy Program </w:t>
      </w:r>
    </w:p>
    <w:p w14:paraId="54040C25" w14:textId="77777777" w:rsidR="00E67A2F" w:rsidRDefault="00E67A2F" w:rsidP="00E67A2F">
      <w:pPr>
        <w:spacing w:after="160" w:line="259" w:lineRule="auto"/>
        <w:rPr>
          <w:rFonts w:cs="Arial"/>
          <w:color w:val="696969" w:themeColor="text2"/>
          <w:szCs w:val="20"/>
        </w:rPr>
      </w:pPr>
      <w:r>
        <w:rPr>
          <w:rFonts w:cs="Arial"/>
          <w:color w:val="696969" w:themeColor="text2"/>
          <w:szCs w:val="20"/>
        </w:rPr>
        <w:t>Vizient, Inc.</w:t>
      </w:r>
    </w:p>
    <w:p w14:paraId="3A52D669" w14:textId="77777777" w:rsidR="00E67A2F" w:rsidRPr="006C6397" w:rsidRDefault="00E67A2F" w:rsidP="00E67A2F">
      <w:pPr>
        <w:pStyle w:val="BodyText"/>
        <w:pBdr>
          <w:top w:val="none" w:sz="0" w:space="0" w:color="auto"/>
          <w:left w:val="none" w:sz="0" w:space="0" w:color="auto"/>
          <w:bottom w:val="none" w:sz="0" w:space="0" w:color="auto"/>
          <w:right w:val="none" w:sz="0" w:space="0" w:color="auto"/>
        </w:pBdr>
        <w:spacing w:line="276" w:lineRule="auto"/>
        <w:rPr>
          <w:rFonts w:cs="Arial"/>
          <w:b/>
          <w:color w:val="696969" w:themeColor="text2"/>
        </w:rPr>
      </w:pPr>
      <w:r w:rsidRPr="006C6397">
        <w:rPr>
          <w:rFonts w:cs="Arial"/>
          <w:b/>
          <w:color w:val="696969" w:themeColor="text2"/>
        </w:rPr>
        <w:t>Gretchen Brummel, PharmD, BCPS</w:t>
      </w:r>
    </w:p>
    <w:p w14:paraId="16F8545C" w14:textId="77777777" w:rsidR="00E67A2F" w:rsidRPr="00D23A66" w:rsidRDefault="00E67A2F" w:rsidP="00E67A2F">
      <w:pPr>
        <w:pStyle w:val="BodyText"/>
        <w:pBdr>
          <w:top w:val="none" w:sz="0" w:space="0" w:color="auto"/>
          <w:left w:val="none" w:sz="0" w:space="0" w:color="auto"/>
          <w:bottom w:val="none" w:sz="0" w:space="0" w:color="auto"/>
          <w:right w:val="none" w:sz="0" w:space="0" w:color="auto"/>
        </w:pBdr>
        <w:spacing w:line="276" w:lineRule="auto"/>
        <w:rPr>
          <w:rFonts w:cs="Arial"/>
          <w:bCs/>
          <w:color w:val="696969" w:themeColor="text2"/>
        </w:rPr>
      </w:pPr>
      <w:r w:rsidRPr="00D23A66">
        <w:rPr>
          <w:rFonts w:cs="Arial"/>
          <w:bCs/>
          <w:color w:val="696969" w:themeColor="text2"/>
        </w:rPr>
        <w:t>Consulting Solutions Director</w:t>
      </w:r>
    </w:p>
    <w:p w14:paraId="4FC91B92" w14:textId="77777777" w:rsidR="00E67A2F" w:rsidRPr="006C6397" w:rsidRDefault="00E67A2F" w:rsidP="00E67A2F">
      <w:pPr>
        <w:spacing w:after="160" w:line="259" w:lineRule="auto"/>
        <w:rPr>
          <w:rFonts w:eastAsia="Calibri" w:cs="Arial"/>
          <w:bCs/>
          <w:color w:val="FF4E00"/>
          <w:sz w:val="24"/>
        </w:rPr>
      </w:pPr>
      <w:r w:rsidRPr="00D23A66">
        <w:rPr>
          <w:rFonts w:cs="Arial"/>
          <w:bCs/>
          <w:color w:val="696969" w:themeColor="text2"/>
          <w:szCs w:val="20"/>
        </w:rPr>
        <w:t>Vizient, Inc.</w:t>
      </w:r>
    </w:p>
    <w:p w14:paraId="32C33B00" w14:textId="77777777" w:rsidR="00E67A2F" w:rsidRDefault="00E67A2F" w:rsidP="00CE68C4">
      <w:pPr>
        <w:pStyle w:val="Heading"/>
        <w:rPr>
          <w:rStyle w:val="IntenseReference"/>
          <w:b/>
          <w:bCs/>
        </w:rPr>
        <w:sectPr w:rsidR="00E67A2F" w:rsidSect="00E67A2F">
          <w:type w:val="continuous"/>
          <w:pgSz w:w="12240" w:h="15840"/>
          <w:pgMar w:top="1440" w:right="1080" w:bottom="1440" w:left="1080" w:header="630" w:footer="965" w:gutter="0"/>
          <w:cols w:num="2" w:space="720"/>
          <w:docGrid w:linePitch="360"/>
        </w:sectPr>
      </w:pPr>
    </w:p>
    <w:p w14:paraId="7D17EBC2" w14:textId="0A3BCA0E" w:rsidR="00E67A2F" w:rsidRDefault="00E67A2F" w:rsidP="00CE68C4">
      <w:pPr>
        <w:pStyle w:val="Heading"/>
        <w:rPr>
          <w:rStyle w:val="IntenseReference"/>
          <w:b/>
          <w:bCs/>
        </w:rPr>
      </w:pPr>
    </w:p>
    <w:p w14:paraId="13FCAC04" w14:textId="68361030" w:rsidR="00CE68C4" w:rsidRDefault="00CE68C4" w:rsidP="00CE68C4">
      <w:pPr>
        <w:pStyle w:val="Heading"/>
        <w:rPr>
          <w:rStyle w:val="IntenseReference"/>
          <w:b/>
          <w:bCs/>
        </w:rPr>
      </w:pPr>
      <w:r>
        <w:rPr>
          <w:rStyle w:val="IntenseReference"/>
          <w:b/>
          <w:bCs/>
        </w:rPr>
        <w:t>7/21/2022 – Reimbursement Series: The ABC &amp; D’s of Reimbursement – Part B and C</w:t>
      </w:r>
    </w:p>
    <w:p w14:paraId="76FC2DF2" w14:textId="77777777"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sectPr w:rsidR="00E67A2F" w:rsidSect="00E67A2F">
          <w:type w:val="continuous"/>
          <w:pgSz w:w="12240" w:h="15840"/>
          <w:pgMar w:top="1440" w:right="1080" w:bottom="1440" w:left="1080" w:header="630" w:footer="965" w:gutter="0"/>
          <w:cols w:space="720"/>
          <w:docGrid w:linePitch="360"/>
        </w:sectPr>
      </w:pPr>
    </w:p>
    <w:p w14:paraId="74D7C6AD" w14:textId="5A6F32C9"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r w:rsidRPr="006C6397">
        <w:rPr>
          <w:rFonts w:cs="Arial"/>
          <w:b/>
          <w:bCs/>
          <w:color w:val="696969" w:themeColor="text2"/>
        </w:rPr>
        <w:t>FACULTY/PRESENTERS</w:t>
      </w:r>
    </w:p>
    <w:p w14:paraId="5C33A29D" w14:textId="77777777" w:rsidR="00E67A2F" w:rsidRDefault="00E67A2F" w:rsidP="00CB51C6">
      <w:pPr>
        <w:pStyle w:val="BodyText1"/>
        <w:spacing w:after="0" w:line="240" w:lineRule="auto"/>
        <w:rPr>
          <w:b/>
          <w:bCs/>
          <w:color w:val="696969" w:themeColor="text2"/>
        </w:rPr>
      </w:pPr>
    </w:p>
    <w:p w14:paraId="1439A5A8" w14:textId="5FB920FE" w:rsidR="00CB51C6" w:rsidRPr="00CB51C6" w:rsidRDefault="00CB51C6" w:rsidP="00CB51C6">
      <w:pPr>
        <w:pStyle w:val="BodyText1"/>
        <w:spacing w:after="0" w:line="240" w:lineRule="auto"/>
        <w:rPr>
          <w:b/>
          <w:bCs/>
          <w:color w:val="696969" w:themeColor="text2"/>
        </w:rPr>
      </w:pPr>
      <w:r w:rsidRPr="00CB51C6">
        <w:rPr>
          <w:b/>
          <w:bCs/>
          <w:color w:val="696969" w:themeColor="text2"/>
        </w:rPr>
        <w:t xml:space="preserve">Bonnie Kirschenbaum, </w:t>
      </w:r>
      <w:proofErr w:type="spellStart"/>
      <w:r w:rsidRPr="00CB51C6">
        <w:rPr>
          <w:b/>
          <w:bCs/>
          <w:color w:val="696969" w:themeColor="text2"/>
        </w:rPr>
        <w:t>BScPharm</w:t>
      </w:r>
      <w:proofErr w:type="spellEnd"/>
      <w:r w:rsidRPr="00CB51C6">
        <w:rPr>
          <w:b/>
          <w:bCs/>
          <w:color w:val="696969" w:themeColor="text2"/>
        </w:rPr>
        <w:t>, MS, FASHP, FCSHP</w:t>
      </w:r>
    </w:p>
    <w:p w14:paraId="3B24F78D" w14:textId="17D72137" w:rsidR="00CB51C6" w:rsidRDefault="00CB51C6" w:rsidP="00CB51C6">
      <w:pPr>
        <w:pStyle w:val="BodyText1"/>
        <w:spacing w:after="0" w:line="240" w:lineRule="auto"/>
      </w:pPr>
      <w:r>
        <w:t>Consultant</w:t>
      </w:r>
    </w:p>
    <w:p w14:paraId="1D862012" w14:textId="77777777" w:rsidR="00CB51C6" w:rsidRDefault="00CB51C6" w:rsidP="00CB51C6">
      <w:pPr>
        <w:pStyle w:val="TableHeadings"/>
      </w:pPr>
    </w:p>
    <w:p w14:paraId="76618F93" w14:textId="77777777" w:rsidR="00E67A2F" w:rsidRDefault="00E67A2F" w:rsidP="006C6397">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p>
    <w:p w14:paraId="513C9ED9" w14:textId="77777777" w:rsidR="00E67A2F" w:rsidRDefault="00E67A2F" w:rsidP="006C6397">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p>
    <w:p w14:paraId="3A21F09F" w14:textId="17CDE7A7" w:rsidR="006C6397" w:rsidRPr="006C6397" w:rsidRDefault="006C6397" w:rsidP="006C6397">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r w:rsidRPr="006C6397">
        <w:rPr>
          <w:rFonts w:cs="Arial"/>
          <w:b/>
          <w:bCs/>
          <w:color w:val="696969" w:themeColor="text2"/>
        </w:rPr>
        <w:t>PLANNERS</w:t>
      </w:r>
      <w:r w:rsidRPr="006C6397">
        <w:rPr>
          <w:rFonts w:cs="Arial"/>
          <w:b/>
          <w:bCs/>
          <w:color w:val="696969" w:themeColor="text2"/>
        </w:rPr>
        <w:br/>
      </w:r>
    </w:p>
    <w:p w14:paraId="45D36612" w14:textId="5F7582A6" w:rsidR="006C6397" w:rsidRPr="006C6397" w:rsidRDefault="006C6397" w:rsidP="006C6397">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r w:rsidRPr="006C6397">
        <w:rPr>
          <w:rFonts w:cs="Arial"/>
          <w:b/>
          <w:bCs/>
          <w:color w:val="696969" w:themeColor="text2"/>
        </w:rPr>
        <w:t>Jackie Stokes, BS</w:t>
      </w:r>
    </w:p>
    <w:p w14:paraId="59FF8A58" w14:textId="77777777" w:rsidR="006C6397" w:rsidRDefault="006C6397" w:rsidP="006C6397">
      <w:pPr>
        <w:pStyle w:val="BodyText"/>
        <w:pBdr>
          <w:top w:val="none" w:sz="0" w:space="0" w:color="auto"/>
          <w:left w:val="none" w:sz="0" w:space="0" w:color="auto"/>
          <w:bottom w:val="none" w:sz="0" w:space="0" w:color="auto"/>
          <w:right w:val="none" w:sz="0" w:space="0" w:color="auto"/>
        </w:pBdr>
        <w:spacing w:line="276" w:lineRule="auto"/>
        <w:rPr>
          <w:rFonts w:cs="Arial"/>
          <w:color w:val="696969" w:themeColor="text2"/>
        </w:rPr>
      </w:pPr>
      <w:r>
        <w:rPr>
          <w:rFonts w:cs="Arial"/>
          <w:color w:val="696969" w:themeColor="text2"/>
        </w:rPr>
        <w:t xml:space="preserve">Manager, Pharmacy Program </w:t>
      </w:r>
    </w:p>
    <w:p w14:paraId="030A6065" w14:textId="50EEFC1A" w:rsidR="006C6397" w:rsidRDefault="006C6397" w:rsidP="006C6397">
      <w:pPr>
        <w:spacing w:after="160" w:line="259" w:lineRule="auto"/>
        <w:rPr>
          <w:rFonts w:cs="Arial"/>
          <w:color w:val="696969" w:themeColor="text2"/>
          <w:szCs w:val="20"/>
        </w:rPr>
      </w:pPr>
      <w:r>
        <w:rPr>
          <w:rFonts w:cs="Arial"/>
          <w:color w:val="696969" w:themeColor="text2"/>
          <w:szCs w:val="20"/>
        </w:rPr>
        <w:t>Vizient, Inc.</w:t>
      </w:r>
    </w:p>
    <w:p w14:paraId="0A7E2A9C" w14:textId="77777777" w:rsidR="006C6397" w:rsidRPr="006C6397" w:rsidRDefault="006C6397" w:rsidP="006C6397">
      <w:pPr>
        <w:pStyle w:val="BodyText"/>
        <w:pBdr>
          <w:top w:val="none" w:sz="0" w:space="0" w:color="auto"/>
          <w:left w:val="none" w:sz="0" w:space="0" w:color="auto"/>
          <w:bottom w:val="none" w:sz="0" w:space="0" w:color="auto"/>
          <w:right w:val="none" w:sz="0" w:space="0" w:color="auto"/>
        </w:pBdr>
        <w:spacing w:line="276" w:lineRule="auto"/>
        <w:rPr>
          <w:rFonts w:cs="Arial"/>
          <w:b/>
          <w:color w:val="696969" w:themeColor="text2"/>
        </w:rPr>
      </w:pPr>
      <w:r w:rsidRPr="006C6397">
        <w:rPr>
          <w:rFonts w:cs="Arial"/>
          <w:b/>
          <w:color w:val="696969" w:themeColor="text2"/>
        </w:rPr>
        <w:t>Gretchen Brummel, PharmD, BCPS</w:t>
      </w:r>
    </w:p>
    <w:p w14:paraId="25354A16" w14:textId="77777777" w:rsidR="006C6397" w:rsidRPr="00D23A66" w:rsidRDefault="006C6397" w:rsidP="006C6397">
      <w:pPr>
        <w:pStyle w:val="BodyText"/>
        <w:pBdr>
          <w:top w:val="none" w:sz="0" w:space="0" w:color="auto"/>
          <w:left w:val="none" w:sz="0" w:space="0" w:color="auto"/>
          <w:bottom w:val="none" w:sz="0" w:space="0" w:color="auto"/>
          <w:right w:val="none" w:sz="0" w:space="0" w:color="auto"/>
        </w:pBdr>
        <w:spacing w:line="276" w:lineRule="auto"/>
        <w:rPr>
          <w:rFonts w:cs="Arial"/>
          <w:bCs/>
          <w:color w:val="696969" w:themeColor="text2"/>
        </w:rPr>
      </w:pPr>
      <w:r w:rsidRPr="00D23A66">
        <w:rPr>
          <w:rFonts w:cs="Arial"/>
          <w:bCs/>
          <w:color w:val="696969" w:themeColor="text2"/>
        </w:rPr>
        <w:t>Consulting Solutions Director</w:t>
      </w:r>
    </w:p>
    <w:p w14:paraId="7B4A55EC" w14:textId="1739AD82" w:rsidR="006C6397" w:rsidRPr="006C6397" w:rsidRDefault="006C6397" w:rsidP="006C6397">
      <w:pPr>
        <w:spacing w:after="160" w:line="259" w:lineRule="auto"/>
        <w:rPr>
          <w:rFonts w:eastAsia="Calibri" w:cs="Arial"/>
          <w:bCs/>
          <w:color w:val="FF4E00"/>
          <w:sz w:val="24"/>
        </w:rPr>
      </w:pPr>
      <w:r w:rsidRPr="00D23A66">
        <w:rPr>
          <w:rFonts w:cs="Arial"/>
          <w:bCs/>
          <w:color w:val="696969" w:themeColor="text2"/>
          <w:szCs w:val="20"/>
        </w:rPr>
        <w:t>Vizient, Inc.</w:t>
      </w:r>
    </w:p>
    <w:sectPr w:rsidR="006C6397" w:rsidRPr="006C6397" w:rsidSect="00E67A2F">
      <w:type w:val="continuous"/>
      <w:pgSz w:w="12240" w:h="15840"/>
      <w:pgMar w:top="1440" w:right="1080" w:bottom="1440" w:left="1080" w:header="630" w:footer="965"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4"/>
  </w:num>
  <w:num w:numId="4">
    <w:abstractNumId w:val="34"/>
  </w:num>
  <w:num w:numId="5">
    <w:abstractNumId w:val="30"/>
  </w:num>
  <w:num w:numId="6">
    <w:abstractNumId w:val="4"/>
  </w:num>
  <w:num w:numId="7">
    <w:abstractNumId w:val="25"/>
  </w:num>
  <w:num w:numId="8">
    <w:abstractNumId w:val="41"/>
  </w:num>
  <w:num w:numId="9">
    <w:abstractNumId w:val="38"/>
  </w:num>
  <w:num w:numId="10">
    <w:abstractNumId w:val="42"/>
  </w:num>
  <w:num w:numId="11">
    <w:abstractNumId w:val="14"/>
  </w:num>
  <w:num w:numId="12">
    <w:abstractNumId w:val="27"/>
  </w:num>
  <w:num w:numId="13">
    <w:abstractNumId w:val="17"/>
  </w:num>
  <w:num w:numId="14">
    <w:abstractNumId w:val="32"/>
  </w:num>
  <w:num w:numId="15">
    <w:abstractNumId w:val="20"/>
  </w:num>
  <w:num w:numId="16">
    <w:abstractNumId w:val="6"/>
  </w:num>
  <w:num w:numId="17">
    <w:abstractNumId w:val="15"/>
  </w:num>
  <w:num w:numId="18">
    <w:abstractNumId w:val="37"/>
  </w:num>
  <w:num w:numId="19">
    <w:abstractNumId w:val="40"/>
  </w:num>
  <w:num w:numId="20">
    <w:abstractNumId w:val="29"/>
  </w:num>
  <w:num w:numId="21">
    <w:abstractNumId w:val="9"/>
  </w:num>
  <w:num w:numId="22">
    <w:abstractNumId w:val="23"/>
  </w:num>
  <w:num w:numId="23">
    <w:abstractNumId w:val="12"/>
  </w:num>
  <w:num w:numId="24">
    <w:abstractNumId w:val="36"/>
  </w:num>
  <w:num w:numId="25">
    <w:abstractNumId w:val="3"/>
  </w:num>
  <w:num w:numId="26">
    <w:abstractNumId w:val="21"/>
  </w:num>
  <w:num w:numId="27">
    <w:abstractNumId w:val="39"/>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5"/>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1"/>
  </w:num>
  <w:num w:numId="43">
    <w:abstractNumId w:val="16"/>
  </w:num>
  <w:num w:numId="44">
    <w:abstractNumId w:val="11"/>
  </w:num>
  <w:num w:numId="45">
    <w:abstractNumId w:val="24"/>
  </w:num>
  <w:num w:numId="46">
    <w:abstractNumId w:val="1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6B9"/>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39F0"/>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78B"/>
    <w:rsid w:val="004B0F88"/>
    <w:rsid w:val="004B3F48"/>
    <w:rsid w:val="004C3FD4"/>
    <w:rsid w:val="004C7923"/>
    <w:rsid w:val="004D66E5"/>
    <w:rsid w:val="00520393"/>
    <w:rsid w:val="005228D3"/>
    <w:rsid w:val="0053107D"/>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B7F05"/>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C6397"/>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C2570"/>
    <w:rsid w:val="007C6E08"/>
    <w:rsid w:val="007D473D"/>
    <w:rsid w:val="007D5AC5"/>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43F5"/>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1C6"/>
    <w:rsid w:val="00CB537E"/>
    <w:rsid w:val="00CC182A"/>
    <w:rsid w:val="00CC289B"/>
    <w:rsid w:val="00CC3A07"/>
    <w:rsid w:val="00CD118E"/>
    <w:rsid w:val="00CD18C0"/>
    <w:rsid w:val="00CD5D9F"/>
    <w:rsid w:val="00CD7F45"/>
    <w:rsid w:val="00CE68C4"/>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75E0"/>
    <w:rsid w:val="00E435CD"/>
    <w:rsid w:val="00E47D10"/>
    <w:rsid w:val="00E50346"/>
    <w:rsid w:val="00E609BA"/>
    <w:rsid w:val="00E63522"/>
    <w:rsid w:val="00E63D33"/>
    <w:rsid w:val="00E64E1E"/>
    <w:rsid w:val="00E6655D"/>
    <w:rsid w:val="00E67A2F"/>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745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CE68C4"/>
    <w:pPr>
      <w:spacing w:after="120" w:line="240" w:lineRule="auto"/>
    </w:pPr>
    <w:rPr>
      <w:rFonts w:ascii="Arial" w:eastAsiaTheme="majorEastAsia" w:hAnsi="Arial" w:cstheme="minorHAnsi"/>
      <w:b/>
      <w:bCs/>
      <w:color w:val="01ADAB" w:themeColor="accent4"/>
      <w:sz w:val="20"/>
      <w:szCs w:val="20"/>
    </w:rPr>
  </w:style>
  <w:style w:type="paragraph" w:customStyle="1" w:styleId="TableHeadings">
    <w:name w:val="Table Headings"/>
    <w:autoRedefine/>
    <w:qFormat/>
    <w:rsid w:val="00CB51C6"/>
    <w:pPr>
      <w:spacing w:after="0" w:line="240" w:lineRule="auto"/>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customStyle="1" w:styleId="Style1">
    <w:name w:val="Style1"/>
    <w:basedOn w:val="DefaultParagraphFont"/>
    <w:uiPriority w:val="1"/>
    <w:rsid w:val="005B7F05"/>
    <w:rPr>
      <w:rFonts w:asciiTheme="minorHAnsi" w:hAnsiTheme="minorHAnsi"/>
      <w:color w:val="696969" w:themeColor="accent6"/>
      <w:sz w:val="20"/>
    </w:rPr>
  </w:style>
  <w:style w:type="character" w:customStyle="1" w:styleId="Vizient">
    <w:name w:val="Vizient"/>
    <w:basedOn w:val="DefaultParagraphFont"/>
    <w:uiPriority w:val="1"/>
    <w:qFormat/>
    <w:rsid w:val="00CB51C6"/>
    <w:rPr>
      <w:rFonts w:asciiTheme="minorHAnsi" w:hAnsiTheme="minorHAnsi"/>
      <w:color w:val="696969" w:themeColor="text2"/>
      <w:sz w:val="18"/>
    </w:rPr>
  </w:style>
  <w:style w:type="character" w:styleId="CommentReference">
    <w:name w:val="annotation reference"/>
    <w:basedOn w:val="DefaultParagraphFont"/>
    <w:uiPriority w:val="99"/>
    <w:semiHidden/>
    <w:unhideWhenUsed/>
    <w:rsid w:val="00CB51C6"/>
    <w:rPr>
      <w:sz w:val="16"/>
      <w:szCs w:val="16"/>
    </w:rPr>
  </w:style>
  <w:style w:type="paragraph" w:styleId="CommentText">
    <w:name w:val="annotation text"/>
    <w:basedOn w:val="Normal"/>
    <w:link w:val="CommentTextChar"/>
    <w:uiPriority w:val="99"/>
    <w:semiHidden/>
    <w:unhideWhenUsed/>
    <w:rsid w:val="00CB51C6"/>
    <w:rPr>
      <w:szCs w:val="20"/>
    </w:rPr>
  </w:style>
  <w:style w:type="character" w:customStyle="1" w:styleId="CommentTextChar">
    <w:name w:val="Comment Text Char"/>
    <w:basedOn w:val="DefaultParagraphFont"/>
    <w:link w:val="CommentText"/>
    <w:uiPriority w:val="99"/>
    <w:semiHidden/>
    <w:rsid w:val="00CB51C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51C6"/>
    <w:rPr>
      <w:b/>
      <w:bCs/>
    </w:rPr>
  </w:style>
  <w:style w:type="character" w:customStyle="1" w:styleId="CommentSubjectChar">
    <w:name w:val="Comment Subject Char"/>
    <w:basedOn w:val="CommentTextChar"/>
    <w:link w:val="CommentSubject"/>
    <w:uiPriority w:val="99"/>
    <w:semiHidden/>
    <w:rsid w:val="00CB51C6"/>
    <w:rPr>
      <w:rFonts w:ascii="Arial" w:hAnsi="Arial"/>
      <w:b/>
      <w:bCs/>
      <w:sz w:val="20"/>
      <w:szCs w:val="20"/>
    </w:rPr>
  </w:style>
  <w:style w:type="character" w:styleId="IntenseReference">
    <w:name w:val="Intense Reference"/>
    <w:basedOn w:val="DefaultParagraphFont"/>
    <w:uiPriority w:val="32"/>
    <w:qFormat/>
    <w:rsid w:val="0053107D"/>
    <w:rPr>
      <w:b/>
      <w:bCs/>
      <w:smallCaps/>
      <w:color w:val="FF4E00"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22235984">
      <w:bodyDiv w:val="1"/>
      <w:marLeft w:val="0"/>
      <w:marRight w:val="0"/>
      <w:marTop w:val="0"/>
      <w:marBottom w:val="0"/>
      <w:divBdr>
        <w:top w:val="none" w:sz="0" w:space="0" w:color="auto"/>
        <w:left w:val="none" w:sz="0" w:space="0" w:color="auto"/>
        <w:bottom w:val="none" w:sz="0" w:space="0" w:color="auto"/>
        <w:right w:val="none" w:sz="0" w:space="0" w:color="auto"/>
      </w:divBdr>
    </w:div>
    <w:div w:id="875040738">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rd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Computed" displayName="Computed" id="69155e26-4760-488b-ab4c-bb15b0f8b2a2" isdomainofvalue="False" dataSourceId="87651697-ca1f-4d80-9f69-bb743e325714"/>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SourceDataModel Name="Computed" TargetDataSourceId="87651697-ca1f-4d80-9f69-bb743e325714"/>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VariableListDefinition name="AD_HOC" displayName="AD_HOC" id="9426ea6f-1b24-4683-bca3-85d71f6375fd" isdomainofvalue="False" dataSourceId="80be7e5f-6e71-448c-9228-23264555308c"/>
</file>

<file path=customXml/item14.xml><?xml version="1.0" encoding="utf-8"?>
<VariableUsageMapping/>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SourceDataModel Name="System" TargetDataSourceId="00b80028-d226-4a39-9a19-6787589aad19"/>
</file>

<file path=customXml/item17.xml><?xml version="1.0" encoding="utf-8"?>
<AllWordPDs>
</AllWordPDs>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1.xml><?xml version="1.0" encoding="utf-8"?>
<DocPartTree/>
</file>

<file path=customXml/item22.xml><?xml version="1.0" encoding="utf-8"?>
<SourceDataModel Name="AD_HOC" TargetDataSourceId="80be7e5f-6e71-448c-9228-23264555308c"/>
</file>

<file path=customXml/item2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4.xml><?xml version="1.0" encoding="utf-8"?>
<AllMetadata/>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VariableListDefinition name="System" displayName="System" id="dc9731b4-d0d2-4ed5-b20d-434d69de1706" isdomainofvalue="False" dataSourceId="00b80028-d226-4a39-9a19-6787589aad19"/>
</file>

<file path=customXml/item27.xml><?xml version="1.0" encoding="utf-8"?>
<?mso-contentType ?>
<FormTemplates xmlns="http://schemas.microsoft.com/sharepoint/v3/contenttype/forms">
  <Display>DocumentLibraryForm</Display>
  <Edit>DocumentLibraryForm</Edit>
  <New>DocumentLibraryForm</New>
</FormTemplates>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mso-contentType ?>
<SharedContentType xmlns="Microsoft.SharePoint.Taxonomy.ContentTypeSync" SourceId="c9bec5de-3132-4daf-ae55-1613447ae162" ContentTypeId="0x0101003892C1470B32FA4ABADA805F9A36FDE40106" PreviousValue="false"/>
</file>

<file path=customXml/item6.xml><?xml version="1.0" encoding="utf-8"?>
<AllExternalAdhocVariableMappings/>
</file>

<file path=customXml/item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37871AC4-84F1-4DCF-9181-89FBC406BA26}">
  <ds:schemaRefs/>
</ds:datastoreItem>
</file>

<file path=customXml/itemProps1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1D690A50-E3B4-44F5-A4C5-75EEC88CF4EC}">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C4AEAB29-4929-45AF-A192-84C4D708764D}">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6.xml><?xml version="1.0" encoding="utf-8"?>
<ds:datastoreItem xmlns:ds="http://schemas.openxmlformats.org/officeDocument/2006/customXml" ds:itemID="{7B773B23-CD27-407C-8EF7-714316C2ACF2}">
  <ds:schemaRefs/>
</ds:datastoreItem>
</file>

<file path=customXml/itemProps7.xml><?xml version="1.0" encoding="utf-8"?>
<ds:datastoreItem xmlns:ds="http://schemas.openxmlformats.org/officeDocument/2006/customXml" ds:itemID="{DE544662-F77F-4442-B53C-A34A18686309}">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0D4A98D7-A056-4A12-A949-9E2EE5A35FE4}">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272</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Gordon,Samantha</cp:lastModifiedBy>
  <cp:revision>4</cp:revision>
  <cp:lastPrinted>2015-12-22T16:01:00Z</cp:lastPrinted>
  <dcterms:created xsi:type="dcterms:W3CDTF">2022-05-26T14:43:00Z</dcterms:created>
  <dcterms:modified xsi:type="dcterms:W3CDTF">2022-05-26T20:36:00Z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