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44DE6E"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5418E3A4" w14:textId="77777777" w:rsidR="00AF5639" w:rsidRPr="00AF5639" w:rsidRDefault="00AF5639" w:rsidP="004A294A">
      <w:pPr>
        <w:pStyle w:val="BodyText1"/>
        <w:rPr>
          <w:b/>
          <w:color w:val="01ADAB"/>
          <w:sz w:val="24"/>
          <w:szCs w:val="24"/>
        </w:rPr>
      </w:pPr>
      <w:r w:rsidRPr="00AF5639">
        <w:rPr>
          <w:b/>
          <w:color w:val="01ADAB"/>
          <w:sz w:val="24"/>
          <w:szCs w:val="24"/>
        </w:rPr>
        <w:t xml:space="preserve">Navigating Site of Care Transitions  </w:t>
      </w:r>
    </w:p>
    <w:p w14:paraId="0D0DC3CD" w14:textId="4A8E672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F5639">
        <w:rPr>
          <w:color w:val="595959" w:themeColor="text1" w:themeTint="A6"/>
        </w:rPr>
        <w:t>June 16, 2022</w:t>
      </w:r>
    </w:p>
    <w:p w14:paraId="641D3E3A" w14:textId="0D9556F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F5639">
        <w:rPr>
          <w:color w:val="595959" w:themeColor="text1" w:themeTint="A6"/>
        </w:rPr>
        <w:t xml:space="preserve">Gretchen </w:t>
      </w:r>
      <w:proofErr w:type="spellStart"/>
      <w:r w:rsidR="00AF5639">
        <w:rPr>
          <w:color w:val="595959" w:themeColor="text1" w:themeTint="A6"/>
        </w:rPr>
        <w:t>Bremmel</w:t>
      </w:r>
      <w:proofErr w:type="spellEnd"/>
      <w:r w:rsidR="00AF5639">
        <w:rPr>
          <w:color w:val="595959" w:themeColor="text1" w:themeTint="A6"/>
        </w:rPr>
        <w:t>, PharmD, BPCS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sidRPr="00AF5639">
        <w:rPr>
          <w:rFonts w:cs="Arial"/>
          <w:b/>
          <w:bCs/>
          <w:color w:val="01ADAB"/>
          <w:sz w:val="24"/>
          <w:szCs w:val="20"/>
        </w:rPr>
        <w:t>Re</w:t>
      </w:r>
      <w:r w:rsidR="008730EB" w:rsidRPr="00AF5639">
        <w:rPr>
          <w:rFonts w:cs="Arial"/>
          <w:b/>
          <w:bCs/>
          <w:color w:val="01ADAB"/>
          <w:sz w:val="24"/>
          <w:szCs w:val="20"/>
        </w:rPr>
        <w:t>quirements</w:t>
      </w:r>
    </w:p>
    <w:p w14:paraId="2072BBD7" w14:textId="177DE933" w:rsidR="008730EB" w:rsidRPr="00145C63" w:rsidRDefault="00EA13B8" w:rsidP="00F96DD3">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F96DD3">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63F7F7D" w:rsidR="00EA13B8" w:rsidRPr="00D13F13" w:rsidRDefault="00EA13B8" w:rsidP="00F96DD3">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7363A">
        <w:rPr>
          <w:rFonts w:cs="Arial"/>
          <w:b/>
          <w:color w:val="595959" w:themeColor="text1" w:themeTint="A6"/>
          <w:szCs w:val="20"/>
        </w:rPr>
        <w:t>July 31,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F96DD3">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F96DD3">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2BEA683" w14:textId="77777777" w:rsidR="00AF5639" w:rsidRPr="00AF5639" w:rsidRDefault="00AF5639" w:rsidP="00AF5639">
      <w:pPr>
        <w:spacing w:before="100" w:beforeAutospacing="1" w:after="100" w:afterAutospacing="1"/>
        <w:rPr>
          <w:rFonts w:asciiTheme="minorHAnsi" w:eastAsia="Times New Roman" w:hAnsiTheme="minorHAnsi" w:cstheme="minorHAnsi"/>
          <w:szCs w:val="20"/>
        </w:rPr>
      </w:pPr>
      <w:bookmarkStart w:id="2" w:name="_Hlk103862682"/>
      <w:r w:rsidRPr="00AF5639">
        <w:rPr>
          <w:rFonts w:asciiTheme="minorHAnsi" w:eastAsia="Times New Roman" w:hAnsiTheme="minorHAnsi" w:cstheme="minorHAnsi"/>
          <w:szCs w:val="20"/>
        </w:rPr>
        <w:t>At the conclusion of this activity pharmacists will be able to:</w:t>
      </w:r>
    </w:p>
    <w:p w14:paraId="7706CA53" w14:textId="77777777" w:rsidR="00AF5639" w:rsidRPr="00AF5639" w:rsidRDefault="00AF5639" w:rsidP="00F96DD3">
      <w:pPr>
        <w:numPr>
          <w:ilvl w:val="0"/>
          <w:numId w:val="6"/>
        </w:numPr>
        <w:spacing w:before="100" w:beforeAutospacing="1" w:after="100" w:afterAutospacing="1"/>
        <w:rPr>
          <w:rFonts w:asciiTheme="minorHAnsi" w:eastAsia="Times New Roman" w:hAnsiTheme="minorHAnsi" w:cstheme="minorHAnsi"/>
          <w:szCs w:val="20"/>
        </w:rPr>
      </w:pPr>
      <w:r w:rsidRPr="00AF5639">
        <w:rPr>
          <w:rFonts w:asciiTheme="minorHAnsi" w:eastAsia="Times New Roman" w:hAnsiTheme="minorHAnsi" w:cstheme="minorHAnsi"/>
          <w:szCs w:val="20"/>
        </w:rPr>
        <w:t>Identify the site of care restrictions being implemented by payers</w:t>
      </w:r>
    </w:p>
    <w:p w14:paraId="5A8CD114" w14:textId="77777777" w:rsidR="00AF5639" w:rsidRPr="00AF5639" w:rsidRDefault="00AF5639" w:rsidP="00F96DD3">
      <w:pPr>
        <w:numPr>
          <w:ilvl w:val="0"/>
          <w:numId w:val="6"/>
        </w:numPr>
        <w:spacing w:before="100" w:beforeAutospacing="1" w:after="100" w:afterAutospacing="1"/>
        <w:rPr>
          <w:rFonts w:asciiTheme="minorHAnsi" w:eastAsia="Times New Roman" w:hAnsiTheme="minorHAnsi" w:cstheme="minorHAnsi"/>
          <w:szCs w:val="20"/>
        </w:rPr>
      </w:pPr>
      <w:r w:rsidRPr="00AF5639">
        <w:rPr>
          <w:rFonts w:asciiTheme="minorHAnsi" w:eastAsia="Times New Roman" w:hAnsiTheme="minorHAnsi" w:cstheme="minorHAnsi"/>
          <w:szCs w:val="20"/>
        </w:rPr>
        <w:t>List strategies to optimize site of care transitions</w:t>
      </w:r>
    </w:p>
    <w:p w14:paraId="673DE114" w14:textId="77777777" w:rsidR="00AF5639" w:rsidRPr="00AF5639" w:rsidRDefault="00AF5639" w:rsidP="00F96DD3">
      <w:pPr>
        <w:numPr>
          <w:ilvl w:val="0"/>
          <w:numId w:val="6"/>
        </w:numPr>
        <w:spacing w:before="100" w:beforeAutospacing="1" w:after="100" w:afterAutospacing="1"/>
        <w:rPr>
          <w:rFonts w:asciiTheme="minorHAnsi" w:eastAsia="Times New Roman" w:hAnsiTheme="minorHAnsi" w:cstheme="minorHAnsi"/>
          <w:szCs w:val="20"/>
        </w:rPr>
      </w:pPr>
      <w:r w:rsidRPr="00AF5639">
        <w:rPr>
          <w:rFonts w:asciiTheme="minorHAnsi" w:eastAsia="Times New Roman" w:hAnsiTheme="minorHAnsi" w:cstheme="minorHAnsi"/>
          <w:szCs w:val="20"/>
        </w:rPr>
        <w:t xml:space="preserve">Describe key characteristics of site of care options and when it is most appropriate to prioritize one over another </w:t>
      </w:r>
    </w:p>
    <w:bookmarkEnd w:id="2"/>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0F450586" w14:textId="77777777" w:rsidR="00AF5639" w:rsidRPr="00AF5639" w:rsidRDefault="00AF5639" w:rsidP="00AF5639">
      <w:pPr>
        <w:spacing w:before="100" w:beforeAutospacing="1" w:after="100" w:afterAutospacing="1"/>
        <w:rPr>
          <w:rFonts w:asciiTheme="minorHAnsi" w:eastAsia="Times New Roman" w:hAnsiTheme="minorHAnsi" w:cstheme="minorHAnsi"/>
          <w:szCs w:val="20"/>
        </w:rPr>
      </w:pPr>
      <w:r w:rsidRPr="00AF5639">
        <w:rPr>
          <w:rFonts w:asciiTheme="minorHAnsi" w:eastAsia="Times New Roman" w:hAnsiTheme="minorHAnsi" w:cstheme="minorHAnsi"/>
          <w:szCs w:val="20"/>
        </w:rPr>
        <w:t>At the conclusion of this activity pharmacy technicians will be able to:</w:t>
      </w:r>
    </w:p>
    <w:p w14:paraId="65F1A78A" w14:textId="77777777" w:rsidR="00AF5639" w:rsidRPr="00AF5639" w:rsidRDefault="00AF5639" w:rsidP="00F96DD3">
      <w:pPr>
        <w:numPr>
          <w:ilvl w:val="0"/>
          <w:numId w:val="7"/>
        </w:numPr>
        <w:spacing w:before="100" w:beforeAutospacing="1" w:after="100" w:afterAutospacing="1"/>
        <w:rPr>
          <w:rFonts w:asciiTheme="minorHAnsi" w:eastAsia="Times New Roman" w:hAnsiTheme="minorHAnsi" w:cstheme="minorHAnsi"/>
          <w:szCs w:val="20"/>
        </w:rPr>
      </w:pPr>
      <w:r w:rsidRPr="00AF5639">
        <w:rPr>
          <w:rFonts w:asciiTheme="minorHAnsi" w:eastAsia="Times New Roman" w:hAnsiTheme="minorHAnsi" w:cstheme="minorHAnsi"/>
          <w:szCs w:val="20"/>
        </w:rPr>
        <w:lastRenderedPageBreak/>
        <w:t>Identify the site of care restrictions being implemented by payers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CDAB850" w:rsidR="00C9605F" w:rsidRPr="00145C63"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57363A" w:rsidRPr="0057363A">
        <w:rPr>
          <w:rFonts w:cs="Arial"/>
          <w:color w:val="595959" w:themeColor="text1" w:themeTint="A6"/>
        </w:rPr>
        <w:t>JA0006103-0000-22-019-H04-P</w:t>
      </w:r>
    </w:p>
    <w:p w14:paraId="73F5F570" w14:textId="6039A8AB" w:rsidR="00F374BD"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57363A" w:rsidRPr="0057363A">
        <w:rPr>
          <w:rFonts w:cs="Arial"/>
          <w:color w:val="595959" w:themeColor="text1" w:themeTint="A6"/>
        </w:rPr>
        <w:t>JA0006103-0000-22-019-H04-</w:t>
      </w:r>
      <w:r w:rsidR="0057363A">
        <w:rPr>
          <w:rFonts w:cs="Arial"/>
          <w:color w:val="595959" w:themeColor="text1" w:themeTint="A6"/>
        </w:rPr>
        <w:t>T</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26E86F9C" w14:textId="3D0A9D33" w:rsidR="007A1399" w:rsidRDefault="00F96DD3" w:rsidP="00F96DD3">
      <w:pPr>
        <w:pStyle w:val="NormalWeb"/>
        <w:rPr>
          <w:rFonts w:ascii="Arial" w:hAnsi="Arial" w:cs="Arial"/>
          <w:color w:val="787878"/>
          <w:sz w:val="20"/>
          <w:szCs w:val="20"/>
          <w:shd w:val="clear" w:color="auto" w:fill="FFFFFF"/>
        </w:rPr>
      </w:pPr>
      <w:r>
        <w:rPr>
          <w:rFonts w:ascii="Arial" w:hAnsi="Arial" w:cs="Arial"/>
          <w:color w:val="787878"/>
          <w:sz w:val="20"/>
          <w:szCs w:val="20"/>
          <w:shd w:val="clear" w:color="auto" w:fill="FFFFFF"/>
        </w:rPr>
        <w:lastRenderedPageBreak/>
        <w:t>None of the planners for this educational activity have relevant financial relationship(s) to disclose with ineligible companies whose primary business is producing, marketing, selling, re-selling, or distributing healthcare products used by or on patients.</w:t>
      </w:r>
    </w:p>
    <w:p w14:paraId="5B3D8F9B" w14:textId="1C37E144" w:rsidR="0057363A" w:rsidRPr="00E23318" w:rsidRDefault="0057363A" w:rsidP="00F96DD3">
      <w:pPr>
        <w:pStyle w:val="NormalWeb"/>
        <w:rPr>
          <w:rFonts w:ascii="Arial" w:hAnsi="Arial" w:cs="Arial"/>
          <w:color w:val="696969" w:themeColor="accent6"/>
          <w:sz w:val="20"/>
          <w:szCs w:val="20"/>
        </w:rPr>
      </w:pPr>
      <w:r w:rsidRPr="00E23318">
        <w:rPr>
          <w:rStyle w:val="Strong"/>
          <w:rFonts w:ascii="Arial" w:hAnsi="Arial" w:cs="Arial"/>
          <w:color w:val="696969" w:themeColor="accent6"/>
          <w:sz w:val="20"/>
          <w:szCs w:val="20"/>
          <w:shd w:val="clear" w:color="auto" w:fill="FFFFFF"/>
        </w:rPr>
        <w:t>Faculty/Presenters</w:t>
      </w:r>
      <w:r w:rsidRPr="00E23318">
        <w:rPr>
          <w:rFonts w:ascii="Arial" w:hAnsi="Arial" w:cs="Arial"/>
          <w:color w:val="696969" w:themeColor="accent6"/>
          <w:sz w:val="20"/>
          <w:szCs w:val="20"/>
          <w:shd w:val="clear" w:color="auto" w:fill="FFFFFF"/>
        </w:rPr>
        <w:br/>
      </w:r>
      <w:bookmarkStart w:id="3" w:name="_Hlk103862600"/>
      <w:r w:rsidRPr="00E23318">
        <w:rPr>
          <w:rFonts w:ascii="Arial" w:hAnsi="Arial" w:cs="Arial"/>
          <w:color w:val="696969" w:themeColor="accent6"/>
          <w:sz w:val="20"/>
          <w:szCs w:val="20"/>
          <w:shd w:val="clear" w:color="auto" w:fill="FFFFFF"/>
        </w:rPr>
        <w:t>Steve Kennedy, PharmD, CSP</w:t>
      </w:r>
      <w:r w:rsidRPr="00E23318">
        <w:rPr>
          <w:rFonts w:ascii="Arial" w:hAnsi="Arial" w:cs="Arial"/>
          <w:color w:val="696969" w:themeColor="accent6"/>
          <w:sz w:val="20"/>
          <w:szCs w:val="20"/>
          <w:shd w:val="clear" w:color="auto" w:fill="FFFFFF"/>
        </w:rPr>
        <w:br/>
        <w:t>Pharmacy Executive Director</w:t>
      </w:r>
      <w:r w:rsidRPr="00E23318">
        <w:rPr>
          <w:rFonts w:ascii="Arial" w:hAnsi="Arial" w:cs="Arial"/>
          <w:color w:val="696969" w:themeColor="accent6"/>
          <w:sz w:val="20"/>
          <w:szCs w:val="20"/>
          <w:shd w:val="clear" w:color="auto" w:fill="FFFFFF"/>
        </w:rPr>
        <w:br/>
        <w:t>Vizient, Inc.</w:t>
      </w:r>
      <w:r w:rsidRPr="00E23318">
        <w:rPr>
          <w:rFonts w:ascii="Arial" w:hAnsi="Arial" w:cs="Arial"/>
          <w:color w:val="696969" w:themeColor="accent6"/>
          <w:sz w:val="20"/>
          <w:szCs w:val="20"/>
          <w:shd w:val="clear" w:color="auto" w:fill="FFFFFF"/>
        </w:rPr>
        <w:br/>
        <w:t> </w:t>
      </w:r>
      <w:r w:rsidRPr="00E23318">
        <w:rPr>
          <w:rFonts w:ascii="Arial" w:hAnsi="Arial" w:cs="Arial"/>
          <w:color w:val="696969" w:themeColor="accent6"/>
          <w:sz w:val="20"/>
          <w:szCs w:val="20"/>
          <w:shd w:val="clear" w:color="auto" w:fill="FFFFFF"/>
        </w:rPr>
        <w:br/>
        <w:t>Ashley W. McCracken, PharmD, MBA</w:t>
      </w:r>
      <w:r w:rsidRPr="00E23318">
        <w:rPr>
          <w:rFonts w:ascii="Arial" w:hAnsi="Arial" w:cs="Arial"/>
          <w:color w:val="696969" w:themeColor="accent6"/>
          <w:sz w:val="20"/>
          <w:szCs w:val="20"/>
          <w:shd w:val="clear" w:color="auto" w:fill="FFFFFF"/>
        </w:rPr>
        <w:br/>
        <w:t>Clinical Pharmacy Project Manager </w:t>
      </w:r>
      <w:r w:rsidRPr="00E23318">
        <w:rPr>
          <w:rFonts w:ascii="Arial" w:hAnsi="Arial" w:cs="Arial"/>
          <w:color w:val="696969" w:themeColor="accent6"/>
          <w:sz w:val="20"/>
          <w:szCs w:val="20"/>
          <w:shd w:val="clear" w:color="auto" w:fill="FFFFFF"/>
        </w:rPr>
        <w:br/>
      </w:r>
      <w:bookmarkEnd w:id="3"/>
      <w:r w:rsidR="00E23318" w:rsidRPr="00E23318">
        <w:rPr>
          <w:rFonts w:ascii="Arial" w:hAnsi="Arial" w:cs="Arial"/>
          <w:color w:val="696969" w:themeColor="accent6"/>
          <w:sz w:val="20"/>
          <w:szCs w:val="20"/>
        </w:rPr>
        <w:t>Johns Hopkins Home Care Group</w:t>
      </w:r>
      <w:r w:rsidRPr="00E23318">
        <w:rPr>
          <w:rFonts w:ascii="Arial" w:hAnsi="Arial" w:cs="Arial"/>
          <w:color w:val="696969" w:themeColor="accent6"/>
          <w:sz w:val="20"/>
          <w:szCs w:val="20"/>
          <w:shd w:val="clear" w:color="auto" w:fill="FFFFFF"/>
        </w:rPr>
        <w:br/>
      </w:r>
      <w:r w:rsidRPr="00E23318">
        <w:rPr>
          <w:rStyle w:val="Strong"/>
          <w:rFonts w:ascii="Arial" w:hAnsi="Arial" w:cs="Arial"/>
          <w:color w:val="696969" w:themeColor="accent6"/>
          <w:sz w:val="20"/>
          <w:szCs w:val="20"/>
          <w:shd w:val="clear" w:color="auto" w:fill="FFFFFF"/>
        </w:rPr>
        <w:t> </w:t>
      </w:r>
      <w:r w:rsidRPr="00E23318">
        <w:rPr>
          <w:rFonts w:ascii="Arial" w:hAnsi="Arial" w:cs="Arial"/>
          <w:b/>
          <w:bCs/>
          <w:color w:val="696969" w:themeColor="accent6"/>
          <w:sz w:val="20"/>
          <w:szCs w:val="20"/>
          <w:shd w:val="clear" w:color="auto" w:fill="FFFFFF"/>
        </w:rPr>
        <w:br/>
      </w:r>
      <w:r w:rsidRPr="00E23318">
        <w:rPr>
          <w:rStyle w:val="Strong"/>
          <w:rFonts w:ascii="Arial" w:hAnsi="Arial" w:cs="Arial"/>
          <w:color w:val="696969" w:themeColor="accent6"/>
          <w:sz w:val="20"/>
          <w:szCs w:val="20"/>
          <w:shd w:val="clear" w:color="auto" w:fill="FFFFFF"/>
        </w:rPr>
        <w:t>Activity Planners</w:t>
      </w:r>
      <w:r w:rsidRPr="00E23318">
        <w:rPr>
          <w:rFonts w:ascii="Arial" w:hAnsi="Arial" w:cs="Arial"/>
          <w:color w:val="696969" w:themeColor="accent6"/>
          <w:sz w:val="20"/>
          <w:szCs w:val="20"/>
          <w:shd w:val="clear" w:color="auto" w:fill="FFFFFF"/>
        </w:rPr>
        <w:br/>
        <w:t>Gretchen Brummel, PharmD, BCPS</w:t>
      </w:r>
      <w:r w:rsidRPr="00E23318">
        <w:rPr>
          <w:rFonts w:ascii="Arial" w:hAnsi="Arial" w:cs="Arial"/>
          <w:color w:val="696969" w:themeColor="accent6"/>
          <w:sz w:val="20"/>
          <w:szCs w:val="20"/>
          <w:shd w:val="clear" w:color="auto" w:fill="FFFFFF"/>
        </w:rPr>
        <w:br/>
        <w:t>Consulting Solutions Director</w:t>
      </w:r>
      <w:r w:rsidRPr="00E23318">
        <w:rPr>
          <w:rFonts w:ascii="Arial" w:hAnsi="Arial" w:cs="Arial"/>
          <w:color w:val="696969" w:themeColor="accent6"/>
          <w:sz w:val="20"/>
          <w:szCs w:val="20"/>
          <w:shd w:val="clear" w:color="auto" w:fill="FFFFFF"/>
        </w:rPr>
        <w:br/>
        <w:t>Vizient, Inc.</w:t>
      </w:r>
      <w:r w:rsidRPr="00E23318">
        <w:rPr>
          <w:rFonts w:ascii="Arial" w:hAnsi="Arial" w:cs="Arial"/>
          <w:color w:val="696969" w:themeColor="accent6"/>
          <w:sz w:val="20"/>
          <w:szCs w:val="20"/>
          <w:shd w:val="clear" w:color="auto" w:fill="FFFFFF"/>
        </w:rPr>
        <w:br/>
        <w:t> </w:t>
      </w:r>
      <w:r w:rsidRPr="00E23318">
        <w:rPr>
          <w:rFonts w:ascii="Arial" w:hAnsi="Arial" w:cs="Arial"/>
          <w:color w:val="696969" w:themeColor="accent6"/>
          <w:sz w:val="20"/>
          <w:szCs w:val="20"/>
          <w:shd w:val="clear" w:color="auto" w:fill="FFFFFF"/>
        </w:rPr>
        <w:br/>
        <w:t>Jackie Stokes, BS</w:t>
      </w:r>
      <w:r w:rsidRPr="00E23318">
        <w:rPr>
          <w:rFonts w:ascii="Arial" w:hAnsi="Arial" w:cs="Arial"/>
          <w:color w:val="696969" w:themeColor="accent6"/>
          <w:sz w:val="20"/>
          <w:szCs w:val="20"/>
          <w:shd w:val="clear" w:color="auto" w:fill="FFFFFF"/>
        </w:rPr>
        <w:br/>
        <w:t>Manager, Pharmacy Program</w:t>
      </w:r>
      <w:r w:rsidRPr="00E23318">
        <w:rPr>
          <w:rFonts w:ascii="Arial" w:hAnsi="Arial" w:cs="Arial"/>
          <w:color w:val="696969" w:themeColor="accent6"/>
          <w:sz w:val="20"/>
          <w:szCs w:val="20"/>
          <w:shd w:val="clear" w:color="auto" w:fill="FFFFFF"/>
        </w:rPr>
        <w:br/>
        <w:t>Vizient, Inc.</w:t>
      </w:r>
    </w:p>
    <w:sectPr w:rsidR="0057363A" w:rsidRPr="00E23318"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4FEE" w14:textId="77777777" w:rsidR="00A1382E" w:rsidRDefault="00A1382E" w:rsidP="00971D43">
      <w:r>
        <w:separator/>
      </w:r>
    </w:p>
  </w:endnote>
  <w:endnote w:type="continuationSeparator" w:id="0">
    <w:p w14:paraId="0A5F3465" w14:textId="77777777" w:rsidR="00A1382E" w:rsidRDefault="00A1382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8469" w14:textId="77777777" w:rsidR="00A1382E" w:rsidRDefault="00A1382E" w:rsidP="00971D43">
      <w:r>
        <w:separator/>
      </w:r>
    </w:p>
  </w:footnote>
  <w:footnote w:type="continuationSeparator" w:id="0">
    <w:p w14:paraId="6753A926" w14:textId="77777777" w:rsidR="00A1382E" w:rsidRDefault="00A1382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95F57"/>
    <w:multiLevelType w:val="multilevel"/>
    <w:tmpl w:val="BB7C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8353E"/>
    <w:multiLevelType w:val="multilevel"/>
    <w:tmpl w:val="9FAA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0"/>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363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B4E"/>
    <w:rsid w:val="00775D79"/>
    <w:rsid w:val="007910DA"/>
    <w:rsid w:val="0079149D"/>
    <w:rsid w:val="007A1399"/>
    <w:rsid w:val="007C2570"/>
    <w:rsid w:val="007C6E08"/>
    <w:rsid w:val="007D473D"/>
    <w:rsid w:val="007E45DA"/>
    <w:rsid w:val="007F2200"/>
    <w:rsid w:val="007F42A3"/>
    <w:rsid w:val="007F7B52"/>
    <w:rsid w:val="0080229B"/>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D4AD5"/>
    <w:rsid w:val="008F0EC4"/>
    <w:rsid w:val="009225E4"/>
    <w:rsid w:val="00931508"/>
    <w:rsid w:val="009322F6"/>
    <w:rsid w:val="00952F89"/>
    <w:rsid w:val="00963CDE"/>
    <w:rsid w:val="00971D43"/>
    <w:rsid w:val="00980A48"/>
    <w:rsid w:val="00987B49"/>
    <w:rsid w:val="00997233"/>
    <w:rsid w:val="009A27BF"/>
    <w:rsid w:val="009A7E1B"/>
    <w:rsid w:val="009A7E9D"/>
    <w:rsid w:val="009B2BA5"/>
    <w:rsid w:val="009B5CB1"/>
    <w:rsid w:val="009B6D1A"/>
    <w:rsid w:val="009D4020"/>
    <w:rsid w:val="009F4A49"/>
    <w:rsid w:val="00A00028"/>
    <w:rsid w:val="00A1382E"/>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AF563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23318"/>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950B0"/>
    <w:rsid w:val="00F96DD3"/>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styleId="NormalWeb">
    <w:name w:val="Normal (Web)"/>
    <w:basedOn w:val="Normal"/>
    <w:uiPriority w:val="99"/>
    <w:unhideWhenUsed/>
    <w:rsid w:val="00AF5639"/>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781">
      <w:bodyDiv w:val="1"/>
      <w:marLeft w:val="0"/>
      <w:marRight w:val="0"/>
      <w:marTop w:val="0"/>
      <w:marBottom w:val="0"/>
      <w:divBdr>
        <w:top w:val="none" w:sz="0" w:space="0" w:color="auto"/>
        <w:left w:val="none" w:sz="0" w:space="0" w:color="auto"/>
        <w:bottom w:val="none" w:sz="0" w:space="0" w:color="auto"/>
        <w:right w:val="none" w:sz="0" w:space="0" w:color="auto"/>
      </w:divBdr>
    </w:div>
    <w:div w:id="269776826">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82079255">
      <w:bodyDiv w:val="1"/>
      <w:marLeft w:val="0"/>
      <w:marRight w:val="0"/>
      <w:marTop w:val="0"/>
      <w:marBottom w:val="0"/>
      <w:divBdr>
        <w:top w:val="none" w:sz="0" w:space="0" w:color="auto"/>
        <w:left w:val="none" w:sz="0" w:space="0" w:color="auto"/>
        <w:bottom w:val="none" w:sz="0" w:space="0" w:color="auto"/>
        <w:right w:val="none" w:sz="0" w:space="0" w:color="auto"/>
      </w:divBdr>
      <w:divsChild>
        <w:div w:id="1381319014">
          <w:marLeft w:val="0"/>
          <w:marRight w:val="0"/>
          <w:marTop w:val="0"/>
          <w:marBottom w:val="195"/>
          <w:divBdr>
            <w:top w:val="none" w:sz="0" w:space="0" w:color="auto"/>
            <w:left w:val="none" w:sz="0" w:space="0" w:color="auto"/>
            <w:bottom w:val="none" w:sz="0" w:space="0" w:color="auto"/>
            <w:right w:val="none" w:sz="0" w:space="0" w:color="auto"/>
          </w:divBdr>
          <w:divsChild>
            <w:div w:id="195968583">
              <w:marLeft w:val="0"/>
              <w:marRight w:val="0"/>
              <w:marTop w:val="0"/>
              <w:marBottom w:val="0"/>
              <w:divBdr>
                <w:top w:val="none" w:sz="0" w:space="0" w:color="auto"/>
                <w:left w:val="none" w:sz="0" w:space="0" w:color="auto"/>
                <w:bottom w:val="none" w:sz="0" w:space="0" w:color="auto"/>
                <w:right w:val="none" w:sz="0" w:space="0" w:color="auto"/>
              </w:divBdr>
              <w:divsChild>
                <w:div w:id="85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1947">
          <w:marLeft w:val="0"/>
          <w:marRight w:val="0"/>
          <w:marTop w:val="0"/>
          <w:marBottom w:val="0"/>
          <w:divBdr>
            <w:top w:val="none" w:sz="0" w:space="0" w:color="auto"/>
            <w:left w:val="none" w:sz="0" w:space="0" w:color="auto"/>
            <w:bottom w:val="none" w:sz="0" w:space="0" w:color="auto"/>
            <w:right w:val="none" w:sz="0" w:space="0" w:color="auto"/>
          </w:divBdr>
          <w:divsChild>
            <w:div w:id="1044210194">
              <w:marLeft w:val="0"/>
              <w:marRight w:val="0"/>
              <w:marTop w:val="0"/>
              <w:marBottom w:val="195"/>
              <w:divBdr>
                <w:top w:val="none" w:sz="0" w:space="0" w:color="auto"/>
                <w:left w:val="none" w:sz="0" w:space="0" w:color="auto"/>
                <w:bottom w:val="none" w:sz="0" w:space="0" w:color="auto"/>
                <w:right w:val="none" w:sz="0" w:space="0" w:color="auto"/>
              </w:divBdr>
              <w:divsChild>
                <w:div w:id="518742605">
                  <w:marLeft w:val="0"/>
                  <w:marRight w:val="0"/>
                  <w:marTop w:val="0"/>
                  <w:marBottom w:val="0"/>
                  <w:divBdr>
                    <w:top w:val="none" w:sz="0" w:space="0" w:color="auto"/>
                    <w:left w:val="none" w:sz="0" w:space="0" w:color="auto"/>
                    <w:bottom w:val="none" w:sz="0" w:space="0" w:color="auto"/>
                    <w:right w:val="none" w:sz="0" w:space="0" w:color="auto"/>
                  </w:divBdr>
                  <w:divsChild>
                    <w:div w:id="1538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6930">
          <w:marLeft w:val="0"/>
          <w:marRight w:val="0"/>
          <w:marTop w:val="0"/>
          <w:marBottom w:val="0"/>
          <w:divBdr>
            <w:top w:val="none" w:sz="0" w:space="0" w:color="auto"/>
            <w:left w:val="none" w:sz="0" w:space="0" w:color="auto"/>
            <w:bottom w:val="none" w:sz="0" w:space="0" w:color="auto"/>
            <w:right w:val="none" w:sz="0" w:space="0" w:color="auto"/>
          </w:divBdr>
          <w:divsChild>
            <w:div w:id="1142579444">
              <w:marLeft w:val="0"/>
              <w:marRight w:val="0"/>
              <w:marTop w:val="0"/>
              <w:marBottom w:val="195"/>
              <w:divBdr>
                <w:top w:val="none" w:sz="0" w:space="0" w:color="auto"/>
                <w:left w:val="none" w:sz="0" w:space="0" w:color="auto"/>
                <w:bottom w:val="none" w:sz="0" w:space="0" w:color="auto"/>
                <w:right w:val="none" w:sz="0" w:space="0" w:color="auto"/>
              </w:divBdr>
              <w:divsChild>
                <w:div w:id="209457458">
                  <w:marLeft w:val="0"/>
                  <w:marRight w:val="0"/>
                  <w:marTop w:val="0"/>
                  <w:marBottom w:val="0"/>
                  <w:divBdr>
                    <w:top w:val="none" w:sz="0" w:space="0" w:color="auto"/>
                    <w:left w:val="none" w:sz="0" w:space="0" w:color="auto"/>
                    <w:bottom w:val="none" w:sz="0" w:space="0" w:color="auto"/>
                    <w:right w:val="none" w:sz="0" w:space="0" w:color="auto"/>
                  </w:divBdr>
                  <w:divsChild>
                    <w:div w:id="13218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283227019">
      <w:bodyDiv w:val="1"/>
      <w:marLeft w:val="0"/>
      <w:marRight w:val="0"/>
      <w:marTop w:val="0"/>
      <w:marBottom w:val="0"/>
      <w:divBdr>
        <w:top w:val="none" w:sz="0" w:space="0" w:color="auto"/>
        <w:left w:val="none" w:sz="0" w:space="0" w:color="auto"/>
        <w:bottom w:val="none" w:sz="0" w:space="0" w:color="auto"/>
        <w:right w:val="none" w:sz="0" w:space="0" w:color="auto"/>
      </w:divBdr>
    </w:div>
    <w:div w:id="1572496740">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689409131">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rd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ocPartTree/>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SourceDataModel Name="System" TargetDataSourceId="00b80028-d226-4a39-9a19-6787589aad19"/>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AllExternalAdhocVariableMapping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VariableUsageMapping/>
</file>

<file path=customXml/item19.xml><?xml version="1.0" encoding="utf-8"?>
<SourceDataModel Name="AD_HOC" TargetDataSourceId="80be7e5f-6e71-448c-9228-23264555308c"/>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AllMetadata/>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AllWordPDs>
</AllWordPDs>
</file>

<file path=customXml/item26.xml><?xml version="1.0" encoding="utf-8"?>
<VariableListDefinition name="AD_HOC" displayName="AD_HOC" id="9426ea6f-1b24-4683-bca3-85d71f6375fd" isdomainofvalue="False" dataSourceId="80be7e5f-6e71-448c-9228-23264555308c"/>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SourceDataModel Name="Computed" TargetDataSourceId="87651697-ca1f-4d80-9f69-bb743e325714"/>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3</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Gordon,Samantha</cp:lastModifiedBy>
  <cp:revision>2</cp:revision>
  <cp:lastPrinted>2015-12-22T16:01:00Z</cp:lastPrinted>
  <dcterms:created xsi:type="dcterms:W3CDTF">2022-05-19T18:44:00Z</dcterms:created>
  <dcterms:modified xsi:type="dcterms:W3CDTF">2022-05-19T18:44:00Z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