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CA53C54" w14:textId="77777777" w:rsidR="00536C59" w:rsidRDefault="00536C59" w:rsidP="004A294A">
      <w:pPr>
        <w:pStyle w:val="BodyText1"/>
        <w:rPr>
          <w:rFonts w:eastAsiaTheme="majorEastAsia" w:cstheme="majorBidi"/>
          <w:b/>
          <w:bCs/>
          <w:color w:val="01ADAB" w:themeColor="accent4"/>
          <w:sz w:val="28"/>
          <w:szCs w:val="28"/>
        </w:rPr>
      </w:pPr>
      <w:r w:rsidRPr="00536C59">
        <w:rPr>
          <w:rFonts w:eastAsiaTheme="majorEastAsia" w:cstheme="majorBidi"/>
          <w:b/>
          <w:bCs/>
          <w:color w:val="01ADAB" w:themeColor="accent4"/>
          <w:sz w:val="28"/>
          <w:szCs w:val="28"/>
        </w:rPr>
        <w:t>Management of Cytokine Release Syndrome Associated with Chemotherapy Agents</w:t>
      </w:r>
      <w:r w:rsidRPr="00536C59">
        <w:rPr>
          <w:rFonts w:eastAsiaTheme="majorEastAsia" w:cstheme="majorBidi"/>
          <w:b/>
          <w:bCs/>
          <w:color w:val="01ADAB" w:themeColor="accent4"/>
          <w:sz w:val="28"/>
          <w:szCs w:val="28"/>
        </w:rPr>
        <w:t xml:space="preserve"> </w:t>
      </w:r>
    </w:p>
    <w:p w14:paraId="0D0DC3CD" w14:textId="41F5C57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36C59">
        <w:rPr>
          <w:color w:val="595959" w:themeColor="text1" w:themeTint="A6"/>
        </w:rPr>
        <w:t>June 16, 2022</w:t>
      </w:r>
    </w:p>
    <w:p w14:paraId="641D3E3A" w14:textId="02245DDB" w:rsidR="00EA13B8" w:rsidRPr="00536C59" w:rsidRDefault="0013180C" w:rsidP="00423054">
      <w:pPr>
        <w:pStyle w:val="BodyText1"/>
        <w:rPr>
          <w:b/>
          <w:bCs/>
          <w:color w:val="595959" w:themeColor="text1" w:themeTint="A6"/>
        </w:rPr>
      </w:pPr>
      <w:r w:rsidRPr="00145C63">
        <w:rPr>
          <w:color w:val="595959" w:themeColor="text1" w:themeTint="A6"/>
        </w:rPr>
        <w:t xml:space="preserve">Course director: </w:t>
      </w:r>
      <w:r w:rsidR="00536C59" w:rsidRPr="00536C59">
        <w:rPr>
          <w:rStyle w:val="Strong"/>
          <w:b w:val="0"/>
          <w:bCs w:val="0"/>
          <w:color w:val="595959"/>
        </w:rPr>
        <w:t xml:space="preserve">Marissa </w:t>
      </w:r>
      <w:proofErr w:type="spellStart"/>
      <w:r w:rsidR="00536C59" w:rsidRPr="00536C59">
        <w:rPr>
          <w:rStyle w:val="Strong"/>
          <w:b w:val="0"/>
          <w:bCs w:val="0"/>
          <w:color w:val="595959"/>
        </w:rPr>
        <w:t>Janusek</w:t>
      </w:r>
      <w:proofErr w:type="spellEnd"/>
      <w:r w:rsidR="00536C59" w:rsidRPr="00536C59">
        <w:rPr>
          <w:rStyle w:val="Strong"/>
          <w:b w:val="0"/>
          <w:bCs w:val="0"/>
          <w:color w:val="595959"/>
        </w:rPr>
        <w:t>, PharmD, BCPS, BCTXP</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8308DB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6C59">
        <w:rPr>
          <w:rFonts w:cs="Arial"/>
          <w:b/>
          <w:color w:val="595959" w:themeColor="text1" w:themeTint="A6"/>
          <w:szCs w:val="20"/>
        </w:rPr>
        <w:t>07/31/2022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E9917D6" w14:textId="77777777" w:rsidR="00536C59" w:rsidRPr="00536C59" w:rsidRDefault="00536C59" w:rsidP="00536C59">
      <w:pPr>
        <w:spacing w:before="100" w:beforeAutospacing="1" w:after="120"/>
        <w:rPr>
          <w:rFonts w:asciiTheme="minorHAnsi" w:eastAsia="Times New Roman" w:hAnsiTheme="minorHAnsi" w:cstheme="minorHAnsi"/>
          <w:sz w:val="24"/>
        </w:rPr>
      </w:pPr>
      <w:r w:rsidRPr="00536C59">
        <w:rPr>
          <w:rFonts w:asciiTheme="minorHAnsi" w:eastAsia="Times New Roman" w:hAnsiTheme="minorHAnsi" w:cstheme="minorHAnsi"/>
          <w:b/>
          <w:bCs/>
          <w:color w:val="01ADAB"/>
          <w:sz w:val="24"/>
        </w:rPr>
        <w:t>At the completion of this activity Pharmacist will be able to:</w:t>
      </w:r>
    </w:p>
    <w:p w14:paraId="72342EFA" w14:textId="77777777" w:rsidR="00536C59" w:rsidRPr="00536C59" w:rsidRDefault="00536C59" w:rsidP="00536C59">
      <w:pPr>
        <w:numPr>
          <w:ilvl w:val="0"/>
          <w:numId w:val="48"/>
        </w:numPr>
        <w:spacing w:before="100" w:beforeAutospacing="1" w:after="100" w:afterAutospacing="1"/>
        <w:rPr>
          <w:rFonts w:asciiTheme="minorHAnsi" w:eastAsia="Times New Roman" w:hAnsiTheme="minorHAnsi" w:cstheme="minorHAnsi"/>
          <w:color w:val="595959" w:themeColor="text1" w:themeTint="A6"/>
          <w:szCs w:val="20"/>
        </w:rPr>
      </w:pPr>
      <w:r w:rsidRPr="00536C59">
        <w:rPr>
          <w:rFonts w:asciiTheme="minorHAnsi" w:eastAsia="Times New Roman" w:hAnsiTheme="minorHAnsi" w:cstheme="minorHAnsi"/>
          <w:color w:val="595959" w:themeColor="text1" w:themeTint="A6"/>
          <w:szCs w:val="20"/>
        </w:rPr>
        <w:t>Define cytokine release syndrome (CRS) and review its underlying pathophysiology</w:t>
      </w:r>
    </w:p>
    <w:p w14:paraId="56FB1C8A" w14:textId="77777777" w:rsidR="00536C59" w:rsidRPr="00536C59" w:rsidRDefault="00536C59" w:rsidP="00536C59">
      <w:pPr>
        <w:numPr>
          <w:ilvl w:val="0"/>
          <w:numId w:val="48"/>
        </w:numPr>
        <w:spacing w:before="100" w:beforeAutospacing="1" w:after="100" w:afterAutospacing="1"/>
        <w:rPr>
          <w:rFonts w:asciiTheme="minorHAnsi" w:eastAsia="Times New Roman" w:hAnsiTheme="minorHAnsi" w:cstheme="minorHAnsi"/>
          <w:color w:val="595959" w:themeColor="text1" w:themeTint="A6"/>
          <w:szCs w:val="20"/>
        </w:rPr>
      </w:pPr>
      <w:r w:rsidRPr="00536C59">
        <w:rPr>
          <w:rFonts w:asciiTheme="minorHAnsi" w:eastAsia="Times New Roman" w:hAnsiTheme="minorHAnsi" w:cstheme="minorHAnsi"/>
          <w:color w:val="595959" w:themeColor="text1" w:themeTint="A6"/>
          <w:szCs w:val="20"/>
        </w:rPr>
        <w:t>Analyze the mechanism of action of medications that are commonly associated with CRS</w:t>
      </w:r>
    </w:p>
    <w:p w14:paraId="7A82AD60" w14:textId="77777777" w:rsidR="00536C59" w:rsidRPr="00536C59" w:rsidRDefault="00536C59" w:rsidP="00536C59">
      <w:pPr>
        <w:numPr>
          <w:ilvl w:val="0"/>
          <w:numId w:val="48"/>
        </w:numPr>
        <w:spacing w:before="100" w:beforeAutospacing="1" w:after="100" w:afterAutospacing="1"/>
        <w:rPr>
          <w:rFonts w:asciiTheme="minorHAnsi" w:eastAsia="Times New Roman" w:hAnsiTheme="minorHAnsi" w:cstheme="minorHAnsi"/>
          <w:color w:val="595959" w:themeColor="text1" w:themeTint="A6"/>
          <w:szCs w:val="20"/>
        </w:rPr>
      </w:pPr>
      <w:r w:rsidRPr="00536C59">
        <w:rPr>
          <w:rFonts w:asciiTheme="minorHAnsi" w:eastAsia="Times New Roman" w:hAnsiTheme="minorHAnsi" w:cstheme="minorHAnsi"/>
          <w:color w:val="595959" w:themeColor="text1" w:themeTint="A6"/>
          <w:szCs w:val="20"/>
        </w:rPr>
        <w:t>Describe the current approach to the treatment of CRS</w:t>
      </w:r>
    </w:p>
    <w:p w14:paraId="02423483" w14:textId="77777777" w:rsidR="00536C59" w:rsidRPr="00536C59" w:rsidRDefault="00536C59" w:rsidP="00536C59">
      <w:pPr>
        <w:spacing w:before="100" w:beforeAutospacing="1" w:after="120"/>
        <w:rPr>
          <w:rFonts w:asciiTheme="minorHAnsi" w:eastAsia="Times New Roman" w:hAnsiTheme="minorHAnsi" w:cstheme="minorHAnsi"/>
          <w:sz w:val="24"/>
        </w:rPr>
      </w:pPr>
      <w:r w:rsidRPr="00536C59">
        <w:rPr>
          <w:rFonts w:asciiTheme="minorHAnsi" w:eastAsia="Times New Roman" w:hAnsiTheme="minorHAnsi" w:cstheme="minorHAnsi"/>
          <w:b/>
          <w:bCs/>
          <w:color w:val="01ADAB"/>
          <w:sz w:val="24"/>
        </w:rPr>
        <w:t>At the completion of this activity Pharmacy technicians will be able to:</w:t>
      </w:r>
    </w:p>
    <w:p w14:paraId="40E54A26" w14:textId="77777777" w:rsidR="00536C59" w:rsidRPr="00536C59" w:rsidRDefault="00536C59" w:rsidP="00536C59">
      <w:pPr>
        <w:numPr>
          <w:ilvl w:val="0"/>
          <w:numId w:val="49"/>
        </w:numPr>
        <w:spacing w:before="100" w:beforeAutospacing="1" w:after="100" w:afterAutospacing="1"/>
        <w:rPr>
          <w:rFonts w:asciiTheme="minorHAnsi" w:eastAsia="Times New Roman" w:hAnsiTheme="minorHAnsi" w:cstheme="minorHAnsi"/>
          <w:color w:val="595959" w:themeColor="text1" w:themeTint="A6"/>
          <w:szCs w:val="20"/>
        </w:rPr>
      </w:pPr>
      <w:r w:rsidRPr="00536C59">
        <w:rPr>
          <w:rFonts w:asciiTheme="minorHAnsi" w:eastAsia="Times New Roman" w:hAnsiTheme="minorHAnsi" w:cstheme="minorHAnsi"/>
          <w:color w:val="595959" w:themeColor="text1" w:themeTint="A6"/>
          <w:szCs w:val="20"/>
        </w:rPr>
        <w:t>Discuss the symptoms commonly associated with CRS</w:t>
      </w:r>
    </w:p>
    <w:p w14:paraId="375A755D" w14:textId="77777777" w:rsidR="00536C59" w:rsidRPr="00536C59" w:rsidRDefault="00536C59" w:rsidP="00536C59">
      <w:pPr>
        <w:numPr>
          <w:ilvl w:val="0"/>
          <w:numId w:val="49"/>
        </w:numPr>
        <w:spacing w:before="100" w:beforeAutospacing="1" w:after="100" w:afterAutospacing="1"/>
        <w:rPr>
          <w:rFonts w:asciiTheme="minorHAnsi" w:eastAsia="Times New Roman" w:hAnsiTheme="minorHAnsi" w:cstheme="minorHAnsi"/>
          <w:color w:val="595959" w:themeColor="text1" w:themeTint="A6"/>
          <w:szCs w:val="20"/>
        </w:rPr>
      </w:pPr>
      <w:r w:rsidRPr="00536C59">
        <w:rPr>
          <w:rFonts w:asciiTheme="minorHAnsi" w:eastAsia="Times New Roman" w:hAnsiTheme="minorHAnsi" w:cstheme="minorHAnsi"/>
          <w:color w:val="595959" w:themeColor="text1" w:themeTint="A6"/>
          <w:szCs w:val="20"/>
        </w:rPr>
        <w:t>Identify brand and generic names of the pharmacological agents that are commonly associated with CRS</w:t>
      </w:r>
    </w:p>
    <w:p w14:paraId="24554E4C" w14:textId="0C0DA7A9" w:rsidR="00536C59" w:rsidRPr="00536C59" w:rsidRDefault="00536C59" w:rsidP="00536C59">
      <w:pPr>
        <w:numPr>
          <w:ilvl w:val="0"/>
          <w:numId w:val="49"/>
        </w:numPr>
        <w:spacing w:before="100" w:beforeAutospacing="1" w:after="100" w:afterAutospacing="1"/>
        <w:rPr>
          <w:rFonts w:asciiTheme="minorHAnsi" w:eastAsia="Times New Roman" w:hAnsiTheme="minorHAnsi" w:cstheme="minorHAnsi"/>
          <w:color w:val="595959" w:themeColor="text1" w:themeTint="A6"/>
          <w:szCs w:val="20"/>
        </w:rPr>
      </w:pPr>
      <w:r w:rsidRPr="00536C59">
        <w:rPr>
          <w:rFonts w:asciiTheme="minorHAnsi" w:eastAsia="Times New Roman" w:hAnsiTheme="minorHAnsi" w:cstheme="minorHAnsi"/>
          <w:color w:val="595959" w:themeColor="text1" w:themeTint="A6"/>
          <w:szCs w:val="20"/>
        </w:rPr>
        <w:t>Recognize brand and generic names of the pharmacological agents used in treatment of CRS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1667B16D"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536C59">
        <w:rPr>
          <w:rFonts w:cs="Arial"/>
          <w:color w:val="595959"/>
          <w:szCs w:val="20"/>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4502FA58" w:rsidR="0035174D" w:rsidRPr="00145C63" w:rsidRDefault="0035174D" w:rsidP="0035174D">
      <w:pPr>
        <w:rPr>
          <w:rFonts w:cs="Arial"/>
          <w:color w:val="595959" w:themeColor="text1" w:themeTint="A6"/>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86F705" w14:textId="77777777" w:rsidR="0013180C" w:rsidRPr="00145C63" w:rsidRDefault="0013180C" w:rsidP="0013180C">
      <w:pPr>
        <w:rPr>
          <w:rFonts w:cs="Arial"/>
          <w:color w:val="595959" w:themeColor="text1" w:themeTint="A6"/>
          <w:szCs w:val="20"/>
        </w:rPr>
      </w:pPr>
    </w:p>
    <w:p w14:paraId="727872B6" w14:textId="6AB96B12" w:rsidR="00F374BD" w:rsidRPr="00145C63" w:rsidRDefault="00F374BD" w:rsidP="00F374BD">
      <w:pPr>
        <w:pStyle w:val="Heading4"/>
        <w:rPr>
          <w:rFonts w:cs="Arial"/>
          <w:color w:val="595959" w:themeColor="text1" w:themeTint="A6"/>
        </w:rPr>
      </w:pPr>
      <w:r w:rsidRPr="00145C63">
        <w:rPr>
          <w:rFonts w:cs="Arial"/>
          <w:color w:val="595959" w:themeColor="text1" w:themeTint="A6"/>
        </w:rPr>
        <w:t>PHARMACY</w:t>
      </w:r>
    </w:p>
    <w:p w14:paraId="11D59A25" w14:textId="77777777" w:rsidR="00F374BD" w:rsidRPr="007107AF" w:rsidRDefault="00F374BD" w:rsidP="00F374BD">
      <w:pPr>
        <w:rPr>
          <w:rFonts w:cs="Arial"/>
          <w:color w:val="595959" w:themeColor="text1" w:themeTint="A6"/>
          <w:szCs w:val="20"/>
        </w:rPr>
      </w:pPr>
      <w:r w:rsidRPr="007107AF">
        <w:rPr>
          <w:rFonts w:cs="Arial"/>
          <w:color w:val="595959" w:themeColor="text1" w:themeTint="A6"/>
          <w:szCs w:val="20"/>
        </w:rPr>
        <w:t xml:space="preserve">Vizient, Inc. designates this activity for a maximum of 1.00 ACPE credit hours. </w:t>
      </w:r>
    </w:p>
    <w:p w14:paraId="4A8731D1" w14:textId="0E0888D4" w:rsidR="00F374BD" w:rsidRPr="007107AF" w:rsidRDefault="00F374BD" w:rsidP="00F374BD">
      <w:pPr>
        <w:rPr>
          <w:rFonts w:cs="Arial"/>
          <w:color w:val="595959" w:themeColor="text1" w:themeTint="A6"/>
          <w:szCs w:val="20"/>
        </w:rPr>
      </w:pPr>
      <w:r w:rsidRPr="007107AF">
        <w:rPr>
          <w:rFonts w:cs="Arial"/>
          <w:color w:val="595959" w:themeColor="text1" w:themeTint="A6"/>
          <w:szCs w:val="20"/>
        </w:rPr>
        <w:t xml:space="preserve">Universal Activity Number: </w:t>
      </w:r>
      <w:r w:rsidR="007107AF" w:rsidRPr="007107AF">
        <w:rPr>
          <w:rFonts w:eastAsia="Times New Roman" w:cs="Arial"/>
          <w:color w:val="595959" w:themeColor="text1" w:themeTint="A6"/>
          <w:szCs w:val="20"/>
        </w:rPr>
        <w:t>JA0006103-9999-22-018-L01-P</w:t>
      </w:r>
    </w:p>
    <w:p w14:paraId="1CC056FD" w14:textId="46CBD677" w:rsidR="00DA1943" w:rsidRPr="007107AF" w:rsidRDefault="00F374BD" w:rsidP="00DA1943">
      <w:pPr>
        <w:rPr>
          <w:rFonts w:cs="Arial"/>
          <w:color w:val="595959" w:themeColor="text1" w:themeTint="A6"/>
          <w:szCs w:val="20"/>
        </w:rPr>
      </w:pPr>
      <w:r w:rsidRPr="007107AF">
        <w:rPr>
          <w:rFonts w:cs="Arial"/>
          <w:color w:val="595959" w:themeColor="text1" w:themeTint="A6"/>
          <w:szCs w:val="20"/>
        </w:rPr>
        <w:t xml:space="preserve">Universal Activity Number: </w:t>
      </w:r>
      <w:r w:rsidR="007107AF" w:rsidRPr="007107AF">
        <w:rPr>
          <w:rFonts w:eastAsia="Times New Roman" w:cs="Arial"/>
          <w:color w:val="595959" w:themeColor="text1" w:themeTint="A6"/>
          <w:szCs w:val="20"/>
        </w:rPr>
        <w:t>JA0006103-9999-22-018-L01-T</w:t>
      </w:r>
    </w:p>
    <w:p w14:paraId="40088BB3" w14:textId="77777777" w:rsidR="00DA1943" w:rsidRDefault="00DA1943" w:rsidP="00DA1943">
      <w:pPr>
        <w:rPr>
          <w:rFonts w:cs="Arial"/>
          <w:color w:val="595959" w:themeColor="text1" w:themeTint="A6"/>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E57F394" w:rsidR="007A1399" w:rsidRP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236D6A34" w14:textId="300B82BC" w:rsidR="00536C59" w:rsidRDefault="00536C59" w:rsidP="00536C59">
      <w:pPr>
        <w:spacing w:before="120" w:after="160" w:line="259" w:lineRule="auto"/>
        <w:contextualSpacing/>
        <w:rPr>
          <w:rFonts w:eastAsia="Calibri" w:cs="Arial"/>
          <w:bCs/>
          <w:color w:val="696969" w:themeColor="accent6"/>
          <w:szCs w:val="20"/>
        </w:rPr>
      </w:pPr>
      <w:r>
        <w:rPr>
          <w:rStyle w:val="Strong"/>
          <w:rFonts w:cs="Arial"/>
          <w:color w:val="595959"/>
          <w:szCs w:val="20"/>
        </w:rPr>
        <w:lastRenderedPageBreak/>
        <w:t>Randall Odom, PharmD</w:t>
      </w:r>
      <w:r w:rsidRPr="00536C59">
        <w:rPr>
          <w:rFonts w:eastAsia="Calibri" w:cs="Arial"/>
          <w:bCs/>
          <w:color w:val="696969" w:themeColor="accent6"/>
          <w:szCs w:val="20"/>
        </w:rPr>
        <w:t xml:space="preserve"> </w:t>
      </w:r>
    </w:p>
    <w:p w14:paraId="44A33A5E" w14:textId="77777777" w:rsidR="00536C59" w:rsidRDefault="00536C59" w:rsidP="00536C59">
      <w:pPr>
        <w:spacing w:before="120" w:after="160" w:line="259" w:lineRule="auto"/>
        <w:contextualSpacing/>
        <w:rPr>
          <w:rFonts w:eastAsia="Calibri" w:cs="Arial"/>
          <w:bCs/>
          <w:color w:val="696969" w:themeColor="accent6"/>
          <w:szCs w:val="20"/>
        </w:rPr>
      </w:pPr>
    </w:p>
    <w:p w14:paraId="179AC0F0" w14:textId="2DE8DF9A" w:rsidR="007A1399" w:rsidRPr="007A1399" w:rsidRDefault="007A1399" w:rsidP="00536C59">
      <w:pPr>
        <w:spacing w:before="120" w:after="160" w:line="259" w:lineRule="auto"/>
        <w:contextualSpacing/>
        <w:rPr>
          <w:rFonts w:eastAsia="Calibri" w:cs="Arial"/>
          <w:bCs/>
          <w:color w:val="696969" w:themeColor="accent6"/>
          <w:szCs w:val="20"/>
        </w:rPr>
      </w:pPr>
      <w:r w:rsidRPr="00536C59">
        <w:rPr>
          <w:rFonts w:eastAsia="Calibri" w:cs="Arial"/>
          <w:bCs/>
          <w:color w:val="696969" w:themeColor="accent6"/>
          <w:szCs w:val="20"/>
        </w:rPr>
        <w:t>None of the planners for this educational activity have relevant financial relationship(s) to disclose with ineligible companies whose primary business is producing, marketing, selling, re-selling, or distributing healthcare products used by or on patients.</w:t>
      </w:r>
    </w:p>
    <w:sectPr w:rsidR="007A1399" w:rsidRPr="007A139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960"/>
    <w:multiLevelType w:val="multilevel"/>
    <w:tmpl w:val="97F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F7680"/>
    <w:multiLevelType w:val="multilevel"/>
    <w:tmpl w:val="BABE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6"/>
  </w:num>
  <w:num w:numId="4">
    <w:abstractNumId w:val="36"/>
  </w:num>
  <w:num w:numId="5">
    <w:abstractNumId w:val="32"/>
  </w:num>
  <w:num w:numId="6">
    <w:abstractNumId w:val="5"/>
  </w:num>
  <w:num w:numId="7">
    <w:abstractNumId w:val="27"/>
  </w:num>
  <w:num w:numId="8">
    <w:abstractNumId w:val="43"/>
  </w:num>
  <w:num w:numId="9">
    <w:abstractNumId w:val="40"/>
  </w:num>
  <w:num w:numId="10">
    <w:abstractNumId w:val="44"/>
  </w:num>
  <w:num w:numId="11">
    <w:abstractNumId w:val="16"/>
  </w:num>
  <w:num w:numId="12">
    <w:abstractNumId w:val="29"/>
  </w:num>
  <w:num w:numId="13">
    <w:abstractNumId w:val="19"/>
  </w:num>
  <w:num w:numId="14">
    <w:abstractNumId w:val="34"/>
  </w:num>
  <w:num w:numId="15">
    <w:abstractNumId w:val="22"/>
  </w:num>
  <w:num w:numId="16">
    <w:abstractNumId w:val="7"/>
  </w:num>
  <w:num w:numId="17">
    <w:abstractNumId w:val="17"/>
  </w:num>
  <w:num w:numId="18">
    <w:abstractNumId w:val="39"/>
  </w:num>
  <w:num w:numId="19">
    <w:abstractNumId w:val="42"/>
  </w:num>
  <w:num w:numId="20">
    <w:abstractNumId w:val="31"/>
  </w:num>
  <w:num w:numId="21">
    <w:abstractNumId w:val="10"/>
  </w:num>
  <w:num w:numId="22">
    <w:abstractNumId w:val="25"/>
  </w:num>
  <w:num w:numId="23">
    <w:abstractNumId w:val="14"/>
  </w:num>
  <w:num w:numId="24">
    <w:abstractNumId w:val="38"/>
  </w:num>
  <w:num w:numId="25">
    <w:abstractNumId w:val="4"/>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7"/>
  </w:num>
  <w:num w:numId="34">
    <w:abstractNumId w:val="24"/>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2"/>
  </w:num>
  <w:num w:numId="45">
    <w:abstractNumId w:val="26"/>
  </w:num>
  <w:num w:numId="46">
    <w:abstractNumId w:val="15"/>
  </w:num>
  <w:num w:numId="47">
    <w:abstractNumId w:val="35"/>
  </w:num>
  <w:num w:numId="48">
    <w:abstractNumId w:val="1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36C59"/>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07AF"/>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styleId="NormalWeb">
    <w:name w:val="Normal (Web)"/>
    <w:basedOn w:val="Normal"/>
    <w:uiPriority w:val="99"/>
    <w:semiHidden/>
    <w:unhideWhenUsed/>
    <w:rsid w:val="00536C59"/>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6970">
      <w:bodyDiv w:val="1"/>
      <w:marLeft w:val="0"/>
      <w:marRight w:val="0"/>
      <w:marTop w:val="0"/>
      <w:marBottom w:val="0"/>
      <w:divBdr>
        <w:top w:val="none" w:sz="0" w:space="0" w:color="auto"/>
        <w:left w:val="none" w:sz="0" w:space="0" w:color="auto"/>
        <w:bottom w:val="none" w:sz="0" w:space="0" w:color="auto"/>
        <w:right w:val="none" w:sz="0" w:space="0" w:color="auto"/>
      </w:divBdr>
      <w:divsChild>
        <w:div w:id="1192841422">
          <w:marLeft w:val="0"/>
          <w:marRight w:val="0"/>
          <w:marTop w:val="0"/>
          <w:marBottom w:val="0"/>
          <w:divBdr>
            <w:top w:val="none" w:sz="0" w:space="0" w:color="auto"/>
            <w:left w:val="none" w:sz="0" w:space="0" w:color="auto"/>
            <w:bottom w:val="none" w:sz="0" w:space="0" w:color="auto"/>
            <w:right w:val="none" w:sz="0" w:space="0" w:color="auto"/>
          </w:divBdr>
        </w:div>
        <w:div w:id="320083775">
          <w:marLeft w:val="0"/>
          <w:marRight w:val="0"/>
          <w:marTop w:val="0"/>
          <w:marBottom w:val="0"/>
          <w:divBdr>
            <w:top w:val="none" w:sz="0" w:space="0" w:color="auto"/>
            <w:left w:val="none" w:sz="0" w:space="0" w:color="auto"/>
            <w:bottom w:val="none" w:sz="0" w:space="0" w:color="auto"/>
            <w:right w:val="none" w:sz="0" w:space="0" w:color="auto"/>
          </w:divBdr>
        </w:div>
        <w:div w:id="1716813556">
          <w:marLeft w:val="0"/>
          <w:marRight w:val="0"/>
          <w:marTop w:val="0"/>
          <w:marBottom w:val="0"/>
          <w:divBdr>
            <w:top w:val="none" w:sz="0" w:space="0" w:color="auto"/>
            <w:left w:val="none" w:sz="0" w:space="0" w:color="auto"/>
            <w:bottom w:val="none" w:sz="0" w:space="0" w:color="auto"/>
            <w:right w:val="none" w:sz="0" w:space="0" w:color="auto"/>
          </w:divBdr>
        </w:div>
      </w:divsChild>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33726422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rd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SourceDataModel Name="AD_HOC" TargetDataSourceId="80be7e5f-6e71-448c-9228-23264555308c"/>
</file>

<file path=customXml/item11.xml><?xml version="1.0" encoding="utf-8"?>
<VariableListDefinition name="AD_HOC" displayName="AD_HOC" id="9426ea6f-1b24-4683-bca3-85d71f6375fd" isdomainofvalue="False" dataSourceId="80be7e5f-6e71-448c-9228-23264555308c"/>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AllExternalAdhocVariableMappings/>
</file>

<file path=customXml/item14.xml><?xml version="1.0" encoding="utf-8"?>
<VariableListDefinition name="Computed" displayName="Computed" id="69155e26-4760-488b-ab4c-bb15b0f8b2a2" isdomainofvalue="False" dataSourceId="87651697-ca1f-4d80-9f69-bb743e325714"/>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AllMetadata/>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SourceDataModel Name="System" TargetDataSourceId="00b80028-d226-4a39-9a19-6787589aad19"/>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DocPartTree/>
</file>

<file path=customXml/item25.xml><?xml version="1.0" encoding="utf-8"?>
<SourceDataModel Name="Computed" TargetDataSourceId="87651697-ca1f-4d80-9f69-bb743e325714"/>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VariableListDefinition name="System" displayName="System" id="dc9731b4-d0d2-4ed5-b20d-434d69de1706" isdomainofvalue="False" dataSourceId="00b80028-d226-4a39-9a19-6787589aad19"/>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VariableUsageMapping/>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Gordon,Samantha</cp:lastModifiedBy>
  <cp:revision>3</cp:revision>
  <cp:lastPrinted>2015-12-22T16:01:00Z</cp:lastPrinted>
  <dcterms:created xsi:type="dcterms:W3CDTF">2022-05-18T12:36:00Z</dcterms:created>
  <dcterms:modified xsi:type="dcterms:W3CDTF">2022-05-18T12:42:00Z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