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4824087" w14:textId="77777777" w:rsidR="005A607D" w:rsidRPr="002A52D4" w:rsidRDefault="005A607D" w:rsidP="005A607D">
      <w:pPr>
        <w:spacing w:after="120"/>
        <w:rPr>
          <w:rFonts w:cs="Arial"/>
          <w:b/>
          <w:color w:val="01ADAB"/>
          <w:sz w:val="32"/>
          <w:szCs w:val="32"/>
        </w:rPr>
      </w:pPr>
      <w:r w:rsidRPr="005B1263">
        <w:rPr>
          <w:rFonts w:cs="Arial"/>
          <w:b/>
          <w:color w:val="01ADAB"/>
          <w:sz w:val="32"/>
          <w:szCs w:val="32"/>
        </w:rPr>
        <w:t>Risk Management Network Series</w:t>
      </w:r>
    </w:p>
    <w:p w14:paraId="13F21D97"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9, 2020</w:t>
      </w:r>
    </w:p>
    <w:p w14:paraId="4A65D337"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10, 2020</w:t>
      </w:r>
    </w:p>
    <w:p w14:paraId="3F64C903"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16, 2020</w:t>
      </w:r>
    </w:p>
    <w:p w14:paraId="18803E60"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17, 2020</w:t>
      </w:r>
    </w:p>
    <w:p w14:paraId="0AE5AAE4" w14:textId="77777777" w:rsidR="005A607D" w:rsidRPr="005B1263" w:rsidRDefault="005A607D" w:rsidP="005A607D">
      <w:pPr>
        <w:pStyle w:val="BodyText1"/>
        <w:contextualSpacing/>
        <w:rPr>
          <w:color w:val="595959" w:themeColor="text1" w:themeTint="A6"/>
        </w:rPr>
      </w:pPr>
    </w:p>
    <w:p w14:paraId="27D9A148" w14:textId="77777777" w:rsidR="005A607D" w:rsidRDefault="005A607D" w:rsidP="005A607D">
      <w:pPr>
        <w:pStyle w:val="BodyText1"/>
        <w:contextualSpacing/>
        <w:rPr>
          <w:color w:val="595959" w:themeColor="text1" w:themeTint="A6"/>
        </w:rPr>
      </w:pPr>
      <w:r w:rsidRPr="005B1263">
        <w:rPr>
          <w:color w:val="595959" w:themeColor="text1" w:themeTint="A6"/>
        </w:rPr>
        <w:t>Course director: Shaifali Ray,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477042C"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CE5040">
        <w:rPr>
          <w:rFonts w:cs="Arial"/>
          <w:b/>
          <w:color w:val="595959" w:themeColor="text1" w:themeTint="A6"/>
          <w:szCs w:val="20"/>
        </w:rPr>
        <w:t xml:space="preserve"> (see below):</w:t>
      </w:r>
    </w:p>
    <w:p w14:paraId="04E7C57F" w14:textId="4A904921" w:rsidR="00CE5040" w:rsidRDefault="00CE5040" w:rsidP="00CE5040"/>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123"/>
        <w:gridCol w:w="2273"/>
      </w:tblGrid>
      <w:tr w:rsidR="00CE5040" w:rsidRPr="006F333D" w14:paraId="5A2BF3A2" w14:textId="77777777" w:rsidTr="004206C3">
        <w:trPr>
          <w:trHeight w:val="350"/>
        </w:trPr>
        <w:tc>
          <w:tcPr>
            <w:tcW w:w="2324" w:type="dxa"/>
            <w:shd w:val="clear" w:color="auto" w:fill="auto"/>
          </w:tcPr>
          <w:p w14:paraId="46ABAF6D" w14:textId="77777777" w:rsidR="00CE5040" w:rsidRPr="006F333D" w:rsidRDefault="00CE5040" w:rsidP="00B3302A">
            <w:pPr>
              <w:jc w:val="center"/>
              <w:rPr>
                <w:rFonts w:eastAsia="Times New Roman" w:cs="Arial"/>
                <w:color w:val="808080" w:themeColor="background1" w:themeShade="80"/>
                <w:szCs w:val="20"/>
              </w:rPr>
            </w:pPr>
            <w:r>
              <w:rPr>
                <w:rFonts w:cs="Arial"/>
                <w:color w:val="808080" w:themeColor="background1" w:themeShade="80"/>
                <w:szCs w:val="20"/>
              </w:rPr>
              <w:t xml:space="preserve">Course </w:t>
            </w:r>
            <w:r w:rsidRPr="006F333D">
              <w:rPr>
                <w:rFonts w:eastAsia="Times New Roman" w:cs="Arial"/>
                <w:color w:val="808080" w:themeColor="background1" w:themeShade="80"/>
                <w:szCs w:val="20"/>
              </w:rPr>
              <w:t>Date</w:t>
            </w:r>
          </w:p>
        </w:tc>
        <w:tc>
          <w:tcPr>
            <w:tcW w:w="4123" w:type="dxa"/>
            <w:shd w:val="clear" w:color="auto" w:fill="auto"/>
          </w:tcPr>
          <w:p w14:paraId="4375BB05"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Course</w:t>
            </w:r>
            <w:r>
              <w:rPr>
                <w:rFonts w:cs="Arial"/>
                <w:color w:val="808080" w:themeColor="background1" w:themeShade="80"/>
                <w:szCs w:val="20"/>
              </w:rPr>
              <w:t xml:space="preserve"> title</w:t>
            </w:r>
          </w:p>
        </w:tc>
        <w:tc>
          <w:tcPr>
            <w:tcW w:w="2273" w:type="dxa"/>
            <w:shd w:val="clear" w:color="auto" w:fill="auto"/>
          </w:tcPr>
          <w:p w14:paraId="1694812A"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Close</w:t>
            </w:r>
            <w:r>
              <w:rPr>
                <w:rFonts w:cs="Arial"/>
                <w:color w:val="808080" w:themeColor="background1" w:themeShade="80"/>
                <w:szCs w:val="20"/>
              </w:rPr>
              <w:t xml:space="preserve"> date</w:t>
            </w:r>
          </w:p>
        </w:tc>
      </w:tr>
      <w:tr w:rsidR="005A607D" w:rsidRPr="00BE59D0" w14:paraId="1B77B5E5" w14:textId="77777777" w:rsidTr="004206C3">
        <w:trPr>
          <w:trHeight w:val="336"/>
        </w:trPr>
        <w:tc>
          <w:tcPr>
            <w:tcW w:w="2324" w:type="dxa"/>
            <w:shd w:val="clear" w:color="auto" w:fill="auto"/>
            <w:hideMark/>
          </w:tcPr>
          <w:p w14:paraId="632E83B6" w14:textId="04C2356C"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11/09/2020</w:t>
            </w:r>
          </w:p>
        </w:tc>
        <w:tc>
          <w:tcPr>
            <w:tcW w:w="4123" w:type="dxa"/>
            <w:shd w:val="clear" w:color="auto" w:fill="auto"/>
            <w:hideMark/>
          </w:tcPr>
          <w:p w14:paraId="0A7FD29C" w14:textId="5B46EAA5"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Risk Management Considerations during the “New Normal”</w:t>
            </w:r>
            <w:r w:rsidRPr="00E217FA">
              <w:rPr>
                <w:rFonts w:cs="Arial"/>
                <w:color w:val="808080" w:themeColor="background1" w:themeShade="80"/>
                <w:szCs w:val="20"/>
              </w:rPr>
              <w:t xml:space="preserve"> </w:t>
            </w:r>
            <w:r>
              <w:rPr>
                <w:rFonts w:cs="Arial"/>
                <w:color w:val="808080" w:themeColor="background1" w:themeShade="80"/>
                <w:szCs w:val="20"/>
              </w:rPr>
              <w:t>and Roundtable Discussion</w:t>
            </w:r>
          </w:p>
        </w:tc>
        <w:tc>
          <w:tcPr>
            <w:tcW w:w="2273" w:type="dxa"/>
            <w:shd w:val="clear" w:color="auto" w:fill="auto"/>
            <w:hideMark/>
          </w:tcPr>
          <w:p w14:paraId="64BF56F4" w14:textId="21E57777" w:rsidR="005A607D" w:rsidRPr="00BE59D0" w:rsidRDefault="005A607D" w:rsidP="005A607D">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Pr>
                <w:rFonts w:eastAsia="Times New Roman" w:cs="Arial"/>
                <w:color w:val="808080" w:themeColor="background1" w:themeShade="80"/>
                <w:szCs w:val="20"/>
              </w:rPr>
              <w:t>23</w:t>
            </w:r>
            <w:r w:rsidRPr="00BE59D0">
              <w:rPr>
                <w:rFonts w:eastAsia="Times New Roman" w:cs="Arial"/>
                <w:color w:val="808080" w:themeColor="background1" w:themeShade="80"/>
                <w:szCs w:val="20"/>
              </w:rPr>
              <w:t>/2020</w:t>
            </w:r>
          </w:p>
        </w:tc>
      </w:tr>
      <w:tr w:rsidR="005A607D" w:rsidRPr="00BE59D0" w14:paraId="2924EF3E" w14:textId="77777777" w:rsidTr="004206C3">
        <w:trPr>
          <w:trHeight w:val="408"/>
        </w:trPr>
        <w:tc>
          <w:tcPr>
            <w:tcW w:w="2324" w:type="dxa"/>
            <w:shd w:val="clear" w:color="auto" w:fill="auto"/>
            <w:hideMark/>
          </w:tcPr>
          <w:p w14:paraId="5A89D134" w14:textId="66FCCCB8"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11/10/2020</w:t>
            </w:r>
          </w:p>
        </w:tc>
        <w:tc>
          <w:tcPr>
            <w:tcW w:w="4123" w:type="dxa"/>
            <w:shd w:val="clear" w:color="auto" w:fill="auto"/>
            <w:hideMark/>
          </w:tcPr>
          <w:p w14:paraId="742BAEE0" w14:textId="2918540D"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Risk Management Resiliency</w:t>
            </w:r>
          </w:p>
        </w:tc>
        <w:tc>
          <w:tcPr>
            <w:tcW w:w="2273" w:type="dxa"/>
            <w:shd w:val="clear" w:color="auto" w:fill="auto"/>
            <w:hideMark/>
          </w:tcPr>
          <w:p w14:paraId="4AE0B24C" w14:textId="15AD8ED6" w:rsidR="005A607D" w:rsidRPr="00BE59D0" w:rsidRDefault="005A607D" w:rsidP="005A607D">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Pr>
                <w:rFonts w:eastAsia="Times New Roman" w:cs="Arial"/>
                <w:color w:val="808080" w:themeColor="background1" w:themeShade="80"/>
                <w:szCs w:val="20"/>
              </w:rPr>
              <w:t>30</w:t>
            </w:r>
            <w:r w:rsidRPr="00BE59D0">
              <w:rPr>
                <w:rFonts w:eastAsia="Times New Roman" w:cs="Arial"/>
                <w:color w:val="808080" w:themeColor="background1" w:themeShade="80"/>
                <w:szCs w:val="20"/>
              </w:rPr>
              <w:t>/2020</w:t>
            </w:r>
          </w:p>
        </w:tc>
      </w:tr>
      <w:tr w:rsidR="005A607D" w:rsidRPr="00BE59D0" w14:paraId="31CC06F6" w14:textId="77777777" w:rsidTr="004206C3">
        <w:trPr>
          <w:trHeight w:val="480"/>
        </w:trPr>
        <w:tc>
          <w:tcPr>
            <w:tcW w:w="2324" w:type="dxa"/>
            <w:shd w:val="clear" w:color="auto" w:fill="auto"/>
            <w:hideMark/>
          </w:tcPr>
          <w:p w14:paraId="08FAEB01" w14:textId="2D832167"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11/16/2020</w:t>
            </w:r>
          </w:p>
        </w:tc>
        <w:tc>
          <w:tcPr>
            <w:tcW w:w="4123" w:type="dxa"/>
            <w:shd w:val="clear" w:color="auto" w:fill="auto"/>
            <w:hideMark/>
          </w:tcPr>
          <w:p w14:paraId="1D1631CC" w14:textId="05E8CD02"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 xml:space="preserve">Current Issues in Claims Management and Shifts in the Insurance Market </w:t>
            </w:r>
          </w:p>
        </w:tc>
        <w:tc>
          <w:tcPr>
            <w:tcW w:w="2273" w:type="dxa"/>
            <w:shd w:val="clear" w:color="auto" w:fill="auto"/>
            <w:hideMark/>
          </w:tcPr>
          <w:p w14:paraId="77812DEE" w14:textId="5B41D8C0" w:rsidR="005A607D" w:rsidRPr="00BE59D0" w:rsidRDefault="005A607D" w:rsidP="005A607D">
            <w:pPr>
              <w:jc w:val="center"/>
              <w:rPr>
                <w:rFonts w:eastAsia="Times New Roman" w:cs="Arial"/>
                <w:color w:val="808080" w:themeColor="background1" w:themeShade="80"/>
                <w:szCs w:val="20"/>
              </w:rPr>
            </w:pPr>
            <w:r>
              <w:rPr>
                <w:rFonts w:eastAsia="Times New Roman" w:cs="Arial"/>
                <w:color w:val="808080" w:themeColor="background1" w:themeShade="80"/>
                <w:szCs w:val="20"/>
              </w:rPr>
              <w:t>12/07/</w:t>
            </w:r>
            <w:r w:rsidRPr="00BE59D0">
              <w:rPr>
                <w:rFonts w:eastAsia="Times New Roman" w:cs="Arial"/>
                <w:color w:val="808080" w:themeColor="background1" w:themeShade="80"/>
                <w:szCs w:val="20"/>
              </w:rPr>
              <w:t>2020</w:t>
            </w:r>
          </w:p>
        </w:tc>
      </w:tr>
      <w:tr w:rsidR="005A607D" w:rsidRPr="00BE59D0" w14:paraId="64FBA609" w14:textId="77777777" w:rsidTr="004206C3">
        <w:trPr>
          <w:trHeight w:val="480"/>
        </w:trPr>
        <w:tc>
          <w:tcPr>
            <w:tcW w:w="2324" w:type="dxa"/>
            <w:shd w:val="clear" w:color="auto" w:fill="auto"/>
          </w:tcPr>
          <w:p w14:paraId="4DC0BA50" w14:textId="1AA52631" w:rsidR="005A607D" w:rsidRDefault="005A607D" w:rsidP="005A607D">
            <w:pPr>
              <w:rPr>
                <w:rFonts w:eastAsia="Times New Roman" w:cs="Arial"/>
                <w:color w:val="808080" w:themeColor="background1" w:themeShade="80"/>
                <w:szCs w:val="20"/>
              </w:rPr>
            </w:pPr>
            <w:r>
              <w:rPr>
                <w:rFonts w:cs="Arial"/>
                <w:color w:val="808080" w:themeColor="background1" w:themeShade="80"/>
                <w:szCs w:val="20"/>
              </w:rPr>
              <w:t>11/17/2020</w:t>
            </w:r>
          </w:p>
        </w:tc>
        <w:tc>
          <w:tcPr>
            <w:tcW w:w="4123" w:type="dxa"/>
            <w:shd w:val="clear" w:color="auto" w:fill="auto"/>
          </w:tcPr>
          <w:p w14:paraId="75B88107" w14:textId="4F0D7D66" w:rsidR="005A607D" w:rsidRPr="00486137"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Lessons Learned from Vizient’s 2019 Workplace Violence Benchmarking Study</w:t>
            </w:r>
          </w:p>
        </w:tc>
        <w:tc>
          <w:tcPr>
            <w:tcW w:w="2273" w:type="dxa"/>
            <w:shd w:val="clear" w:color="auto" w:fill="auto"/>
          </w:tcPr>
          <w:p w14:paraId="423ACDF2" w14:textId="4FDB362F" w:rsidR="005A607D" w:rsidRDefault="005A607D" w:rsidP="005A607D">
            <w:pPr>
              <w:jc w:val="center"/>
              <w:rPr>
                <w:rFonts w:eastAsia="Times New Roman" w:cs="Arial"/>
                <w:color w:val="808080" w:themeColor="background1" w:themeShade="80"/>
                <w:szCs w:val="20"/>
              </w:rPr>
            </w:pPr>
            <w:r>
              <w:rPr>
                <w:rFonts w:eastAsia="Times New Roman" w:cs="Arial"/>
                <w:color w:val="808080" w:themeColor="background1" w:themeShade="80"/>
                <w:szCs w:val="20"/>
              </w:rPr>
              <w:t>01/01/2021</w:t>
            </w:r>
          </w:p>
        </w:tc>
      </w:tr>
    </w:tbl>
    <w:p w14:paraId="1C524AB9" w14:textId="77777777" w:rsidR="00CE5040" w:rsidRPr="00CE5040" w:rsidRDefault="00CE5040" w:rsidP="00CE5040"/>
    <w:p w14:paraId="03A41A56" w14:textId="472B1DD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p>
    <w:p w14:paraId="09216F60" w14:textId="77777777" w:rsidR="00892A31" w:rsidRDefault="00892A31" w:rsidP="009A5D82">
      <w:pPr>
        <w:spacing w:after="120"/>
        <w:rPr>
          <w:rFonts w:cs="Arial"/>
          <w:b/>
          <w:color w:val="01ADAB"/>
          <w:sz w:val="24"/>
        </w:rPr>
      </w:pPr>
    </w:p>
    <w:p w14:paraId="1CE87B30" w14:textId="62BA7410" w:rsid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4661"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052"/>
      </w:tblGrid>
      <w:tr w:rsidR="00E960D3" w:rsidRPr="00C205AC" w14:paraId="0CAE53EC" w14:textId="77777777" w:rsidTr="008E5CC0">
        <w:trPr>
          <w:trHeight w:val="440"/>
        </w:trPr>
        <w:tc>
          <w:tcPr>
            <w:tcW w:w="5000" w:type="pct"/>
            <w:shd w:val="clear" w:color="auto" w:fill="D9D9D9"/>
          </w:tcPr>
          <w:p w14:paraId="68FB530F" w14:textId="0DC3E6DA" w:rsidR="00E960D3" w:rsidRPr="00C205AC" w:rsidRDefault="00E960D3" w:rsidP="00335354">
            <w:pPr>
              <w:widowControl w:val="0"/>
              <w:suppressAutoHyphens/>
              <w:autoSpaceDE w:val="0"/>
              <w:autoSpaceDN w:val="0"/>
              <w:adjustRightInd w:val="0"/>
              <w:spacing w:line="276" w:lineRule="auto"/>
              <w:textAlignment w:val="center"/>
              <w:rPr>
                <w:rFonts w:eastAsia="Calibri" w:cs="Arial"/>
                <w:color w:val="696969" w:themeColor="text2"/>
                <w:szCs w:val="20"/>
              </w:rPr>
            </w:pPr>
            <w:r>
              <w:rPr>
                <w:rFonts w:eastAsia="Times New Roman" w:cs="Arial"/>
                <w:bCs/>
                <w:color w:val="696969" w:themeColor="text2"/>
                <w:szCs w:val="20"/>
                <w:lang w:bidi="en-US"/>
              </w:rPr>
              <w:t xml:space="preserve">November 09, 2020 - </w:t>
            </w:r>
            <w:r w:rsidRPr="00C205AC">
              <w:rPr>
                <w:rFonts w:eastAsia="Times New Roman" w:cs="Arial"/>
                <w:bCs/>
                <w:color w:val="696969" w:themeColor="text2"/>
                <w:szCs w:val="20"/>
                <w:lang w:bidi="en-US"/>
              </w:rPr>
              <w:t>Risk Management Considerations during the “New Normal”</w:t>
            </w:r>
            <w:r>
              <w:rPr>
                <w:rFonts w:eastAsia="Times New Roman" w:cs="Arial"/>
                <w:bCs/>
                <w:color w:val="696969" w:themeColor="text2"/>
                <w:szCs w:val="20"/>
                <w:lang w:bidi="en-US"/>
              </w:rPr>
              <w:t xml:space="preserve"> – Roundtable discussion </w:t>
            </w:r>
            <w:r w:rsidR="00335354">
              <w:rPr>
                <w:rFonts w:eastAsia="Times New Roman" w:cs="Arial"/>
                <w:bCs/>
                <w:color w:val="696969" w:themeColor="text2"/>
                <w:szCs w:val="20"/>
                <w:lang w:bidi="en-US"/>
              </w:rPr>
              <w:t xml:space="preserve">- </w:t>
            </w:r>
            <w:r w:rsidR="00335354" w:rsidRPr="00335354">
              <w:rPr>
                <w:rFonts w:eastAsia="Times New Roman" w:cs="Arial"/>
                <w:bCs/>
                <w:color w:val="696969" w:themeColor="text2"/>
                <w:szCs w:val="20"/>
                <w:lang w:bidi="en-US"/>
              </w:rPr>
              <w:t>Beth Haruben Jackson</w:t>
            </w:r>
            <w:r w:rsidR="00335354">
              <w:rPr>
                <w:rFonts w:eastAsia="Times New Roman" w:cs="Arial"/>
                <w:bCs/>
                <w:color w:val="696969" w:themeColor="text2"/>
                <w:szCs w:val="20"/>
                <w:lang w:bidi="en-US"/>
              </w:rPr>
              <w:t xml:space="preserve"> - </w:t>
            </w:r>
            <w:r w:rsidR="00335354" w:rsidRPr="00335354">
              <w:rPr>
                <w:rFonts w:eastAsia="Times New Roman" w:cs="Arial"/>
                <w:bCs/>
                <w:color w:val="696969" w:themeColor="text2"/>
                <w:szCs w:val="20"/>
                <w:lang w:bidi="en-US"/>
              </w:rPr>
              <w:t>Amber Styles</w:t>
            </w:r>
            <w:r w:rsidR="00335354">
              <w:rPr>
                <w:rFonts w:eastAsia="Times New Roman" w:cs="Arial"/>
                <w:bCs/>
                <w:color w:val="696969" w:themeColor="text2"/>
                <w:szCs w:val="20"/>
                <w:lang w:bidi="en-US"/>
              </w:rPr>
              <w:t xml:space="preserve"> – Rhonda Perna (Facilitator)</w:t>
            </w:r>
          </w:p>
        </w:tc>
      </w:tr>
      <w:tr w:rsidR="00E960D3" w:rsidRPr="00C205AC" w14:paraId="35620855"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8"/>
        </w:trPr>
        <w:tc>
          <w:tcPr>
            <w:tcW w:w="5000" w:type="pct"/>
          </w:tcPr>
          <w:p w14:paraId="16D646AD"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the “new normal” as it applies to Risk Management in an academic medical center.</w:t>
            </w:r>
          </w:p>
        </w:tc>
      </w:tr>
      <w:tr w:rsidR="00E960D3" w:rsidRPr="00C205AC" w14:paraId="7D50FBC9"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0CE6622C"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Discuss topics related to COVID-19 that pertain to safety &amp; risk, insurance &amp; liability and staffing &amp; operations.</w:t>
            </w:r>
          </w:p>
        </w:tc>
      </w:tr>
      <w:tr w:rsidR="00E960D3" w:rsidRPr="00C205AC" w14:paraId="52C217F0"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8"/>
        </w:trPr>
        <w:tc>
          <w:tcPr>
            <w:tcW w:w="5000" w:type="pct"/>
          </w:tcPr>
          <w:p w14:paraId="26D84B00"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Recognize the differences in the “new normal” at various academic medical centers.</w:t>
            </w:r>
          </w:p>
        </w:tc>
      </w:tr>
      <w:tr w:rsidR="00E960D3" w:rsidRPr="00C205AC" w14:paraId="2CACD1FF"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tcPr>
          <w:p w14:paraId="7B1D4353" w14:textId="77777777"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Calibri" w:cs="Arial"/>
                <w:color w:val="696969" w:themeColor="text2"/>
                <w:szCs w:val="20"/>
              </w:rPr>
              <w:t>Give examples and use of best practices for learning exchange and to implement new ideas and innovations for process and performance improvement.</w:t>
            </w:r>
          </w:p>
        </w:tc>
      </w:tr>
      <w:tr w:rsidR="00E960D3" w:rsidRPr="00C205AC" w14:paraId="27A1DEAB"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tcPr>
          <w:p w14:paraId="7D00ED70" w14:textId="77777777"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Calibri" w:cs="Arial"/>
                <w:color w:val="696969" w:themeColor="text2"/>
                <w:szCs w:val="20"/>
              </w:rPr>
              <w:lastRenderedPageBreak/>
              <w:t>Use one Roundtable recommendation, in role as Risk Management leader.</w:t>
            </w:r>
          </w:p>
        </w:tc>
      </w:tr>
      <w:tr w:rsidR="00E960D3" w:rsidRPr="00C205AC" w14:paraId="6EFC7397"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shd w:val="clear" w:color="auto" w:fill="D8D8D8" w:themeFill="background2" w:themeFillShade="E6"/>
          </w:tcPr>
          <w:p w14:paraId="07E81F11" w14:textId="15A3740C"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Times New Roman" w:cs="Arial"/>
                <w:bCs/>
                <w:color w:val="696969" w:themeColor="text2"/>
                <w:szCs w:val="20"/>
                <w:lang w:bidi="en-US"/>
              </w:rPr>
              <w:t>November 10, 2020</w:t>
            </w:r>
            <w:r>
              <w:rPr>
                <w:rFonts w:eastAsia="Times New Roman" w:cs="Arial"/>
                <w:bCs/>
                <w:color w:val="696969" w:themeColor="text2"/>
                <w:szCs w:val="20"/>
                <w:lang w:bidi="en-US"/>
              </w:rPr>
              <w:t xml:space="preserve"> - </w:t>
            </w:r>
            <w:r w:rsidRPr="00C205AC">
              <w:rPr>
                <w:rFonts w:eastAsia="Times New Roman" w:cs="Arial"/>
                <w:bCs/>
                <w:color w:val="696969" w:themeColor="text2"/>
                <w:szCs w:val="20"/>
                <w:lang w:bidi="en-US"/>
              </w:rPr>
              <w:t>Risk Management Resiliency</w:t>
            </w:r>
            <w:r w:rsidR="00335354">
              <w:rPr>
                <w:rFonts w:eastAsia="Times New Roman" w:cs="Arial"/>
                <w:bCs/>
                <w:color w:val="696969" w:themeColor="text2"/>
                <w:szCs w:val="20"/>
                <w:lang w:bidi="en-US"/>
              </w:rPr>
              <w:t xml:space="preserve"> – Josh Hyatt</w:t>
            </w:r>
          </w:p>
        </w:tc>
      </w:tr>
      <w:tr w:rsidR="00E960D3" w:rsidRPr="00C205AC" w14:paraId="0EDC490D"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65EB4C55"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Analyze and assess the operational and leadership roles of the risk manager in the setting of large-scale or significant event occurrences, providing specific ideas for consideration and implementation.</w:t>
            </w:r>
          </w:p>
        </w:tc>
      </w:tr>
      <w:tr w:rsidR="00E960D3" w:rsidRPr="00C205AC" w14:paraId="5F697AC2"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33EB27FA"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Apply risk management and bioethical principles to determine the best course of action when providing support to staff and key-stake holders when faced with large-scale or significant events.</w:t>
            </w:r>
          </w:p>
        </w:tc>
      </w:tr>
      <w:tr w:rsidR="00E960D3" w:rsidRPr="00C205AC" w14:paraId="04BC72E2"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6C97559E"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Discuss the impacts of burnout and moral distress on the risk manager and review key methods to address them.</w:t>
            </w:r>
          </w:p>
        </w:tc>
      </w:tr>
      <w:tr w:rsidR="00E960D3" w:rsidRPr="00C205AC" w14:paraId="484C0A1D"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shd w:val="clear" w:color="auto" w:fill="D8D8D8" w:themeFill="background2" w:themeFillShade="E6"/>
          </w:tcPr>
          <w:p w14:paraId="4C8FEB8B" w14:textId="1A61C645" w:rsidR="00E960D3" w:rsidRPr="00C205AC" w:rsidRDefault="00E960D3" w:rsidP="008E5CC0">
            <w:pPr>
              <w:rPr>
                <w:rFonts w:eastAsia="Calibri" w:cs="Arial"/>
                <w:color w:val="696969" w:themeColor="text2"/>
                <w:szCs w:val="20"/>
              </w:rPr>
            </w:pPr>
            <w:r>
              <w:rPr>
                <w:rFonts w:eastAsia="Calibri" w:cs="Arial"/>
                <w:color w:val="696969" w:themeColor="text2"/>
                <w:szCs w:val="20"/>
              </w:rPr>
              <w:t xml:space="preserve">November 16, 2020 - </w:t>
            </w:r>
            <w:r w:rsidRPr="00C205AC">
              <w:rPr>
                <w:rFonts w:eastAsia="Calibri" w:cs="Arial"/>
                <w:color w:val="696969" w:themeColor="text2"/>
                <w:szCs w:val="20"/>
              </w:rPr>
              <w:t>Current Issues in Claims Management and Shifts in the Insurance Market</w:t>
            </w:r>
            <w:r w:rsidR="00335354">
              <w:rPr>
                <w:rFonts w:eastAsia="Calibri" w:cs="Arial"/>
                <w:color w:val="696969" w:themeColor="text2"/>
                <w:szCs w:val="20"/>
              </w:rPr>
              <w:t xml:space="preserve"> – Michael Trucco</w:t>
            </w:r>
          </w:p>
        </w:tc>
      </w:tr>
      <w:tr w:rsidR="00E960D3" w:rsidRPr="00C205AC" w14:paraId="5AB9BA19"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282CD37A"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current trends and developments in medical malpractice litigation with an emphasis on jury trial strategies.</w:t>
            </w:r>
          </w:p>
        </w:tc>
      </w:tr>
      <w:tr w:rsidR="00E960D3" w:rsidRPr="00C205AC" w14:paraId="08849F0C"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22253590"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Explain efforts by Plaintiffs’ attorneys to use “The Reptile Theory” to influence jurors and attempt to aggravate verdicts.</w:t>
            </w:r>
          </w:p>
        </w:tc>
      </w:tr>
      <w:tr w:rsidR="00E960D3" w:rsidRPr="00C205AC" w14:paraId="4F47EF00" w14:textId="77777777" w:rsidTr="006C77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
        </w:trPr>
        <w:tc>
          <w:tcPr>
            <w:tcW w:w="5000" w:type="pct"/>
          </w:tcPr>
          <w:p w14:paraId="62D638A5"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Discuss strategies for defense counsel to employ to combat reptilian tactics.</w:t>
            </w:r>
          </w:p>
        </w:tc>
      </w:tr>
      <w:tr w:rsidR="00E960D3" w:rsidRPr="00C205AC" w14:paraId="066B1E35" w14:textId="77777777" w:rsidTr="008E5CC0">
        <w:trPr>
          <w:trHeight w:val="192"/>
        </w:trPr>
        <w:tc>
          <w:tcPr>
            <w:tcW w:w="5000" w:type="pct"/>
            <w:shd w:val="clear" w:color="auto" w:fill="D8D8D8" w:themeFill="background2" w:themeFillShade="E6"/>
          </w:tcPr>
          <w:p w14:paraId="15A8C3C5" w14:textId="17C9E73C" w:rsidR="00E960D3" w:rsidRPr="00C205AC" w:rsidRDefault="00E960D3" w:rsidP="008E5CC0">
            <w:pPr>
              <w:rPr>
                <w:rFonts w:eastAsia="Calibri" w:cs="Arial"/>
                <w:color w:val="696969" w:themeColor="text2"/>
                <w:szCs w:val="20"/>
              </w:rPr>
            </w:pPr>
            <w:r>
              <w:rPr>
                <w:rFonts w:eastAsia="Calibri" w:cs="Arial"/>
                <w:color w:val="696969" w:themeColor="text2"/>
                <w:szCs w:val="20"/>
              </w:rPr>
              <w:t xml:space="preserve">November 17, 2020 - </w:t>
            </w:r>
            <w:r w:rsidRPr="00C205AC">
              <w:rPr>
                <w:rFonts w:eastAsia="Calibri" w:cs="Arial"/>
                <w:color w:val="696969" w:themeColor="text2"/>
                <w:szCs w:val="20"/>
              </w:rPr>
              <w:t>Lessons Learned from Vizient’s 2019 Workplace Violence Benchmarking Study</w:t>
            </w:r>
            <w:r w:rsidR="00335354">
              <w:rPr>
                <w:rFonts w:eastAsia="Calibri" w:cs="Arial"/>
                <w:color w:val="696969" w:themeColor="text2"/>
                <w:szCs w:val="20"/>
              </w:rPr>
              <w:t xml:space="preserve"> – Lindsay Mayer</w:t>
            </w:r>
          </w:p>
        </w:tc>
      </w:tr>
      <w:tr w:rsidR="00E960D3" w:rsidRPr="00C205AC" w14:paraId="03ED71DA" w14:textId="77777777" w:rsidTr="008E5CC0">
        <w:tc>
          <w:tcPr>
            <w:tcW w:w="5000" w:type="pct"/>
          </w:tcPr>
          <w:p w14:paraId="56728F39"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the aggregate results of the 2019 workplace violence benchmarking study.</w:t>
            </w:r>
          </w:p>
        </w:tc>
      </w:tr>
      <w:tr w:rsidR="00E960D3" w:rsidRPr="00C205AC" w14:paraId="64CFD56B" w14:textId="77777777" w:rsidTr="008E5CC0">
        <w:tc>
          <w:tcPr>
            <w:tcW w:w="5000" w:type="pct"/>
          </w:tcPr>
          <w:p w14:paraId="47355A23"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Provide member specific examples of efforts to prevent and address issues of workplace violence.</w:t>
            </w:r>
          </w:p>
        </w:tc>
      </w:tr>
    </w:tbl>
    <w:p w14:paraId="260380E0" w14:textId="6F73DCE6" w:rsidR="00892A31" w:rsidRDefault="00892A31" w:rsidP="009A5D82">
      <w:pPr>
        <w:spacing w:after="120"/>
        <w:rPr>
          <w:rFonts w:cs="Arial"/>
          <w:b/>
          <w:color w:val="01ADAB"/>
          <w:sz w:val="24"/>
        </w:rPr>
      </w:pPr>
    </w:p>
    <w:p w14:paraId="77285023" w14:textId="77777777" w:rsidR="00E960D3" w:rsidRDefault="00E960D3" w:rsidP="00E960D3">
      <w:pPr>
        <w:rPr>
          <w:rFonts w:cs="Arial"/>
          <w:noProof/>
          <w:szCs w:val="20"/>
        </w:rPr>
      </w:pPr>
      <w:r>
        <w:rPr>
          <w:rFonts w:cs="Arial"/>
          <w:noProof/>
          <w:szCs w:val="20"/>
        </w:rPr>
        <w:drawing>
          <wp:inline distT="0" distB="0" distL="0" distR="0" wp14:anchorId="051B03B8" wp14:editId="786A5FB7">
            <wp:extent cx="1579880" cy="987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9880" cy="987425"/>
                    </a:xfrm>
                    <a:prstGeom prst="rect">
                      <a:avLst/>
                    </a:prstGeom>
                    <a:noFill/>
                    <a:ln>
                      <a:noFill/>
                    </a:ln>
                  </pic:spPr>
                </pic:pic>
              </a:graphicData>
            </a:graphic>
          </wp:inline>
        </w:drawing>
      </w:r>
    </w:p>
    <w:p w14:paraId="609748D9" w14:textId="77777777" w:rsidR="00E960D3" w:rsidRDefault="00E960D3" w:rsidP="00E960D3">
      <w:pPr>
        <w:rPr>
          <w:rFonts w:cs="Arial"/>
          <w:b/>
          <w:szCs w:val="20"/>
          <w:u w:val="single"/>
        </w:rPr>
      </w:pPr>
    </w:p>
    <w:p w14:paraId="26D289AC" w14:textId="77777777" w:rsidR="00E960D3" w:rsidRDefault="00E960D3" w:rsidP="00E960D3">
      <w:pPr>
        <w:rPr>
          <w:rFonts w:cs="Arial"/>
          <w:b/>
          <w:color w:val="595959" w:themeColor="text1" w:themeTint="A6"/>
          <w:szCs w:val="20"/>
          <w:u w:val="single"/>
        </w:rPr>
      </w:pPr>
      <w:r>
        <w:rPr>
          <w:rFonts w:cs="Arial"/>
          <w:b/>
          <w:color w:val="595959" w:themeColor="text1" w:themeTint="A6"/>
          <w:szCs w:val="20"/>
          <w:u w:val="single"/>
        </w:rPr>
        <w:t>Joint Accreditation Statement:</w:t>
      </w:r>
    </w:p>
    <w:p w14:paraId="75F840FB" w14:textId="77777777" w:rsidR="00E960D3" w:rsidRDefault="00E960D3" w:rsidP="00E960D3">
      <w:pPr>
        <w:rPr>
          <w:rFonts w:cs="Arial"/>
          <w:color w:val="595959" w:themeColor="text1" w:themeTint="A6"/>
          <w:szCs w:val="20"/>
        </w:rPr>
      </w:pPr>
    </w:p>
    <w:p w14:paraId="4FE1D18C" w14:textId="77777777" w:rsidR="00E960D3" w:rsidRDefault="00E960D3" w:rsidP="00E960D3">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530C526" w14:textId="77777777" w:rsidR="00E960D3" w:rsidRDefault="00E960D3" w:rsidP="00E960D3">
      <w:pPr>
        <w:rPr>
          <w:rFonts w:cs="Arial"/>
          <w:color w:val="595959" w:themeColor="text1" w:themeTint="A6"/>
          <w:szCs w:val="20"/>
        </w:rPr>
      </w:pPr>
    </w:p>
    <w:p w14:paraId="5B07FBC0" w14:textId="77777777" w:rsidR="00E960D3" w:rsidRDefault="00E960D3" w:rsidP="00E960D3">
      <w:pPr>
        <w:rPr>
          <w:rFonts w:cs="Arial"/>
          <w:b/>
          <w:i/>
          <w:iCs/>
          <w:color w:val="01ADAB"/>
          <w:szCs w:val="20"/>
        </w:rPr>
      </w:pPr>
      <w:r>
        <w:rPr>
          <w:rFonts w:cs="Arial"/>
          <w:b/>
          <w:i/>
          <w:iCs/>
          <w:color w:val="01ADAB"/>
          <w:szCs w:val="20"/>
        </w:rPr>
        <w:t xml:space="preserve">November 09, 2020 - </w:t>
      </w:r>
      <w:r w:rsidRPr="005B1263">
        <w:rPr>
          <w:rFonts w:cs="Arial"/>
          <w:b/>
          <w:i/>
          <w:iCs/>
          <w:color w:val="01ADAB"/>
          <w:szCs w:val="20"/>
        </w:rPr>
        <w:t>Risk Management Considerations during the “New Normal”</w:t>
      </w:r>
      <w:r>
        <w:rPr>
          <w:rFonts w:cs="Arial"/>
          <w:b/>
          <w:i/>
          <w:iCs/>
          <w:color w:val="01ADAB"/>
          <w:szCs w:val="20"/>
        </w:rPr>
        <w:t xml:space="preserve"> – Roundtable Discussion</w:t>
      </w:r>
    </w:p>
    <w:p w14:paraId="5C51D063" w14:textId="77777777" w:rsidR="00E960D3" w:rsidRDefault="00E960D3" w:rsidP="00E960D3">
      <w:pPr>
        <w:rPr>
          <w:rFonts w:cs="Arial"/>
          <w:color w:val="595959" w:themeColor="text1" w:themeTint="A6"/>
          <w:szCs w:val="20"/>
        </w:rPr>
      </w:pPr>
    </w:p>
    <w:p w14:paraId="49B4456C" w14:textId="77777777" w:rsidR="00E960D3" w:rsidRDefault="00E960D3" w:rsidP="00E960D3">
      <w:pPr>
        <w:rPr>
          <w:rFonts w:cs="Arial"/>
          <w:b/>
          <w:color w:val="595959" w:themeColor="text1" w:themeTint="A6"/>
          <w:szCs w:val="20"/>
          <w:u w:val="single"/>
        </w:rPr>
      </w:pPr>
      <w:r>
        <w:rPr>
          <w:rFonts w:cs="Arial"/>
          <w:b/>
          <w:color w:val="595959" w:themeColor="text1" w:themeTint="A6"/>
          <w:szCs w:val="20"/>
          <w:u w:val="single"/>
        </w:rPr>
        <w:t>Designation Statements:</w:t>
      </w:r>
    </w:p>
    <w:p w14:paraId="23D829CF" w14:textId="77777777" w:rsidR="00E960D3" w:rsidRDefault="00E960D3" w:rsidP="00E960D3">
      <w:pPr>
        <w:rPr>
          <w:rFonts w:cs="Arial"/>
          <w:color w:val="595959" w:themeColor="text1" w:themeTint="A6"/>
          <w:szCs w:val="20"/>
        </w:rPr>
      </w:pPr>
    </w:p>
    <w:p w14:paraId="36C8C16B" w14:textId="77777777" w:rsidR="00E960D3" w:rsidRDefault="00E960D3" w:rsidP="00E960D3">
      <w:pPr>
        <w:pStyle w:val="Heading4"/>
        <w:rPr>
          <w:rFonts w:cs="Arial"/>
          <w:color w:val="595959" w:themeColor="text1" w:themeTint="A6"/>
        </w:rPr>
      </w:pPr>
      <w:r>
        <w:rPr>
          <w:rFonts w:cs="Arial"/>
          <w:color w:val="595959" w:themeColor="text1" w:themeTint="A6"/>
        </w:rPr>
        <w:t>NURSING</w:t>
      </w:r>
    </w:p>
    <w:p w14:paraId="4EB0E9D5" w14:textId="77777777" w:rsidR="00E960D3" w:rsidRDefault="00E960D3" w:rsidP="00E960D3">
      <w:pPr>
        <w:rPr>
          <w:rFonts w:cs="Arial"/>
          <w:color w:val="595959" w:themeColor="text1" w:themeTint="A6"/>
          <w:szCs w:val="20"/>
        </w:rPr>
      </w:pPr>
      <w:r>
        <w:rPr>
          <w:rFonts w:cs="Arial"/>
          <w:color w:val="595959" w:themeColor="text1" w:themeTint="A6"/>
          <w:szCs w:val="20"/>
        </w:rPr>
        <w:t>This activity is designated for 1.75 contact hours.</w:t>
      </w:r>
    </w:p>
    <w:p w14:paraId="7407608D" w14:textId="77777777" w:rsidR="00E960D3" w:rsidRDefault="00E960D3" w:rsidP="00E960D3">
      <w:pPr>
        <w:rPr>
          <w:rFonts w:cs="Arial"/>
          <w:color w:val="595959" w:themeColor="text1" w:themeTint="A6"/>
          <w:szCs w:val="20"/>
        </w:rPr>
      </w:pPr>
    </w:p>
    <w:p w14:paraId="5A0FE8B3" w14:textId="77777777" w:rsidR="00E960D3" w:rsidRDefault="00E960D3" w:rsidP="00E960D3">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2.10 contact hours.</w:t>
      </w:r>
    </w:p>
    <w:p w14:paraId="2C0F041F" w14:textId="77777777" w:rsidR="00E960D3" w:rsidRDefault="00E960D3" w:rsidP="00E960D3">
      <w:pPr>
        <w:pStyle w:val="Heading3"/>
        <w:rPr>
          <w:rFonts w:cs="Arial"/>
          <w:b w:val="0"/>
          <w:bCs w:val="0"/>
          <w:color w:val="595959" w:themeColor="text1" w:themeTint="A6"/>
        </w:rPr>
      </w:pPr>
      <w:r>
        <w:rPr>
          <w:rFonts w:cs="Arial"/>
          <w:color w:val="595959" w:themeColor="text1" w:themeTint="A6"/>
        </w:rPr>
        <w:t>CEU</w:t>
      </w:r>
    </w:p>
    <w:p w14:paraId="571DEB28" w14:textId="77777777" w:rsidR="00E960D3" w:rsidRDefault="00E960D3" w:rsidP="00E960D3">
      <w:pPr>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1D34BD4" w14:textId="77777777" w:rsidR="00E960D3" w:rsidRPr="00413B24" w:rsidRDefault="00E960D3" w:rsidP="00E960D3"/>
    <w:p w14:paraId="1210C5E1" w14:textId="2709D494" w:rsidR="00E960D3" w:rsidRDefault="00E960D3" w:rsidP="00E960D3">
      <w:pPr>
        <w:rPr>
          <w:rFonts w:cs="Arial"/>
          <w:b/>
          <w:i/>
          <w:iCs/>
          <w:color w:val="01ADAB"/>
          <w:szCs w:val="20"/>
        </w:rPr>
      </w:pPr>
      <w:r>
        <w:rPr>
          <w:rFonts w:cs="Arial"/>
          <w:b/>
          <w:i/>
          <w:iCs/>
          <w:color w:val="01ADAB"/>
          <w:szCs w:val="20"/>
        </w:rPr>
        <w:lastRenderedPageBreak/>
        <w:t xml:space="preserve">November 10,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Risk Management Resiliency</w:t>
      </w:r>
    </w:p>
    <w:p w14:paraId="4FF53264" w14:textId="77777777" w:rsidR="00EA57C9" w:rsidRDefault="00EA57C9" w:rsidP="00EA57C9">
      <w:pPr>
        <w:pStyle w:val="Heading3"/>
        <w:rPr>
          <w:rFonts w:cs="Arial"/>
          <w:b w:val="0"/>
          <w:bCs w:val="0"/>
          <w:color w:val="595959" w:themeColor="text1" w:themeTint="A6"/>
        </w:rPr>
      </w:pPr>
      <w:r>
        <w:rPr>
          <w:rFonts w:cs="Arial"/>
          <w:color w:val="595959" w:themeColor="text1" w:themeTint="A6"/>
        </w:rPr>
        <w:t>CEU</w:t>
      </w:r>
    </w:p>
    <w:p w14:paraId="6994DCDE" w14:textId="77777777" w:rsidR="00EA57C9" w:rsidRDefault="00EA57C9" w:rsidP="00EA57C9">
      <w:pPr>
        <w:rPr>
          <w:rFonts w:cs="Arial"/>
          <w:color w:val="595959" w:themeColor="text1" w:themeTint="A6"/>
          <w:szCs w:val="20"/>
        </w:rPr>
      </w:pPr>
      <w:r>
        <w:rPr>
          <w:rFonts w:cs="Arial"/>
          <w:color w:val="595959" w:themeColor="text1" w:themeTint="A6"/>
          <w:szCs w:val="20"/>
        </w:rPr>
        <w:t xml:space="preserve">Vizient, Inc. will award CEUs to each participant who successfully completes this program. The CEU is a nationally recognized unit of measure for continuing education and training programs that meet certain criteria (1 contact hour = 0.1 CEU).  </w:t>
      </w:r>
    </w:p>
    <w:p w14:paraId="459DF831" w14:textId="77777777" w:rsidR="00EA57C9" w:rsidRDefault="00EA57C9" w:rsidP="00EA57C9">
      <w:pPr>
        <w:rPr>
          <w:rFonts w:cs="Arial"/>
          <w:color w:val="595959" w:themeColor="text1" w:themeTint="A6"/>
          <w:szCs w:val="20"/>
        </w:rPr>
      </w:pPr>
    </w:p>
    <w:p w14:paraId="0C9B04AB" w14:textId="0EEA17C1" w:rsidR="00EA57C9" w:rsidRDefault="00EA57C9" w:rsidP="00EA57C9">
      <w:pPr>
        <w:rPr>
          <w:rFonts w:cs="Arial"/>
          <w:color w:val="595959" w:themeColor="text1" w:themeTint="A6"/>
          <w:szCs w:val="20"/>
        </w:rPr>
      </w:pPr>
      <w:r>
        <w:rPr>
          <w:rFonts w:cs="Arial"/>
          <w:color w:val="595959" w:themeColor="text1" w:themeTint="A6"/>
          <w:szCs w:val="20"/>
        </w:rPr>
        <w:t>This webinar offers 1.25 contact hours = 0.125 CEU.</w:t>
      </w:r>
    </w:p>
    <w:p w14:paraId="786B85B4" w14:textId="77777777" w:rsidR="00EA57C9" w:rsidRPr="00EA57C9" w:rsidRDefault="00EA57C9" w:rsidP="00E960D3">
      <w:pPr>
        <w:rPr>
          <w:rFonts w:cs="Arial"/>
          <w:color w:val="595959" w:themeColor="text1" w:themeTint="A6"/>
          <w:szCs w:val="20"/>
        </w:rPr>
      </w:pPr>
    </w:p>
    <w:p w14:paraId="6E3E0FCF" w14:textId="77777777" w:rsidR="00E960D3" w:rsidRDefault="00E960D3" w:rsidP="00E960D3">
      <w:pPr>
        <w:rPr>
          <w:rFonts w:cs="Arial"/>
          <w:b/>
          <w:i/>
          <w:iCs/>
          <w:color w:val="01ADAB"/>
          <w:szCs w:val="20"/>
        </w:rPr>
      </w:pPr>
      <w:r>
        <w:rPr>
          <w:rFonts w:cs="Arial"/>
          <w:b/>
          <w:i/>
          <w:iCs/>
          <w:color w:val="01ADAB"/>
          <w:szCs w:val="20"/>
        </w:rPr>
        <w:t xml:space="preserve">November 16,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Current Issues in Claims Management and Shifts in the Insurance Market</w:t>
      </w:r>
    </w:p>
    <w:p w14:paraId="5DF167FE" w14:textId="51298E28" w:rsidR="00E960D3" w:rsidRDefault="00E960D3" w:rsidP="00E960D3">
      <w:pPr>
        <w:rPr>
          <w:rFonts w:cs="Arial"/>
          <w:b/>
          <w:i/>
          <w:iCs/>
          <w:color w:val="01ADAB"/>
          <w:szCs w:val="20"/>
        </w:rPr>
      </w:pPr>
    </w:p>
    <w:p w14:paraId="18710D8E" w14:textId="77777777" w:rsidR="00B93DEF" w:rsidRDefault="00B93DEF" w:rsidP="00B93DEF">
      <w:pPr>
        <w:rPr>
          <w:rFonts w:cs="Arial"/>
          <w:b/>
          <w:color w:val="595959" w:themeColor="text1" w:themeTint="A6"/>
          <w:szCs w:val="20"/>
          <w:u w:val="single"/>
        </w:rPr>
      </w:pPr>
      <w:r w:rsidRPr="00145C63">
        <w:rPr>
          <w:rFonts w:cs="Arial"/>
          <w:b/>
          <w:color w:val="595959" w:themeColor="text1" w:themeTint="A6"/>
          <w:szCs w:val="20"/>
          <w:u w:val="single"/>
        </w:rPr>
        <w:t>Designation Statement</w:t>
      </w:r>
      <w:r>
        <w:rPr>
          <w:rFonts w:cs="Arial"/>
          <w:b/>
          <w:color w:val="595959" w:themeColor="text1" w:themeTint="A6"/>
          <w:szCs w:val="20"/>
          <w:u w:val="single"/>
        </w:rPr>
        <w:t>s</w:t>
      </w:r>
      <w:r w:rsidRPr="00145C63">
        <w:rPr>
          <w:rFonts w:cs="Arial"/>
          <w:b/>
          <w:color w:val="595959" w:themeColor="text1" w:themeTint="A6"/>
          <w:szCs w:val="20"/>
          <w:u w:val="single"/>
        </w:rPr>
        <w:t>:</w:t>
      </w:r>
    </w:p>
    <w:p w14:paraId="4421BB54" w14:textId="77777777" w:rsidR="00B93DEF" w:rsidRPr="00145C63" w:rsidRDefault="00B93DEF" w:rsidP="00B93DEF">
      <w:pPr>
        <w:rPr>
          <w:rFonts w:cs="Arial"/>
          <w:color w:val="595959" w:themeColor="text1" w:themeTint="A6"/>
          <w:szCs w:val="20"/>
        </w:rPr>
      </w:pPr>
    </w:p>
    <w:p w14:paraId="5D1C6EF0" w14:textId="77777777" w:rsidR="00B93DEF" w:rsidRDefault="00B93DEF" w:rsidP="00B93DEF">
      <w:pPr>
        <w:pStyle w:val="Heading4"/>
        <w:rPr>
          <w:rFonts w:cs="Arial"/>
          <w:color w:val="595959" w:themeColor="text1" w:themeTint="A6"/>
        </w:rPr>
      </w:pPr>
      <w:r>
        <w:rPr>
          <w:rFonts w:cs="Arial"/>
          <w:color w:val="595959" w:themeColor="text1" w:themeTint="A6"/>
        </w:rPr>
        <w:t>NURSING</w:t>
      </w:r>
    </w:p>
    <w:p w14:paraId="26D8DCD5" w14:textId="77777777" w:rsidR="00B93DEF" w:rsidRDefault="00B93DEF" w:rsidP="00B93DEF">
      <w:pPr>
        <w:rPr>
          <w:rFonts w:cs="Arial"/>
          <w:color w:val="595959" w:themeColor="text1" w:themeTint="A6"/>
          <w:szCs w:val="20"/>
        </w:rPr>
      </w:pPr>
      <w:r>
        <w:rPr>
          <w:rFonts w:cs="Arial"/>
          <w:color w:val="595959" w:themeColor="text1" w:themeTint="A6"/>
          <w:szCs w:val="20"/>
        </w:rPr>
        <w:t>This activity is designated for 1.25 contact hours.</w:t>
      </w:r>
    </w:p>
    <w:p w14:paraId="689CA394" w14:textId="77777777" w:rsidR="00B93DEF" w:rsidRDefault="00B93DEF" w:rsidP="00B93DEF">
      <w:pPr>
        <w:rPr>
          <w:rFonts w:cs="Arial"/>
          <w:color w:val="595959" w:themeColor="text1" w:themeTint="A6"/>
          <w:szCs w:val="20"/>
        </w:rPr>
      </w:pPr>
    </w:p>
    <w:p w14:paraId="5C3C5A8D" w14:textId="77777777" w:rsidR="00B93DEF" w:rsidRDefault="00B93DEF" w:rsidP="00B93DEF">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1.50 contact hours.</w:t>
      </w:r>
    </w:p>
    <w:p w14:paraId="126AC1BF" w14:textId="77777777" w:rsidR="00B93DEF" w:rsidRDefault="00B93DEF" w:rsidP="00B93DEF">
      <w:pPr>
        <w:rPr>
          <w:rFonts w:cs="Arial"/>
          <w:color w:val="595959" w:themeColor="text1" w:themeTint="A6"/>
          <w:szCs w:val="20"/>
        </w:rPr>
      </w:pPr>
    </w:p>
    <w:p w14:paraId="24976CCB" w14:textId="77777777" w:rsidR="00B93DEF" w:rsidRPr="006D66B3" w:rsidRDefault="00B93DEF" w:rsidP="00B93DEF">
      <w:pPr>
        <w:pStyle w:val="Heading4"/>
        <w:shd w:val="clear" w:color="auto" w:fill="FFFFFF"/>
        <w:rPr>
          <w:rFonts w:cs="Arial"/>
          <w:color w:val="595959" w:themeColor="text1" w:themeTint="A6"/>
        </w:rPr>
      </w:pPr>
      <w:r w:rsidRPr="006D66B3">
        <w:rPr>
          <w:rFonts w:cs="Arial"/>
          <w:color w:val="595959" w:themeColor="text1" w:themeTint="A6"/>
        </w:rPr>
        <w:t>CLE/MCLE</w:t>
      </w:r>
    </w:p>
    <w:p w14:paraId="60356842" w14:textId="77777777" w:rsidR="00B93DEF" w:rsidRPr="006D66B3" w:rsidRDefault="00B93DEF" w:rsidP="00B93DEF">
      <w:pPr>
        <w:rPr>
          <w:iCs/>
          <w:color w:val="595959" w:themeColor="text1" w:themeTint="A6"/>
        </w:rPr>
      </w:pPr>
      <w:r w:rsidRPr="006D66B3">
        <w:rPr>
          <w:iCs/>
          <w:color w:val="595959" w:themeColor="text1" w:themeTint="A6"/>
        </w:rPr>
        <w:t>This activity has been approved for 1.</w:t>
      </w:r>
      <w:r>
        <w:rPr>
          <w:iCs/>
          <w:color w:val="595959" w:themeColor="text1" w:themeTint="A6"/>
        </w:rPr>
        <w:t>25</w:t>
      </w:r>
      <w:r w:rsidRPr="006D66B3">
        <w:rPr>
          <w:iCs/>
          <w:color w:val="595959" w:themeColor="text1" w:themeTint="A6"/>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7BED94DF" w14:textId="77777777" w:rsidR="00B93DEF" w:rsidRDefault="00B93DEF" w:rsidP="00B93DEF">
      <w:pPr>
        <w:pStyle w:val="Heading3"/>
        <w:rPr>
          <w:rFonts w:cs="Arial"/>
          <w:b w:val="0"/>
          <w:bCs w:val="0"/>
          <w:color w:val="595959" w:themeColor="text1" w:themeTint="A6"/>
        </w:rPr>
      </w:pPr>
      <w:r>
        <w:rPr>
          <w:rFonts w:cs="Arial"/>
          <w:color w:val="595959" w:themeColor="text1" w:themeTint="A6"/>
        </w:rPr>
        <w:t>CEU</w:t>
      </w:r>
    </w:p>
    <w:p w14:paraId="64753A9A" w14:textId="77777777" w:rsidR="00B93DEF" w:rsidRDefault="00B93DEF" w:rsidP="00B93DEF">
      <w:pPr>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23F7B7C" w14:textId="77777777" w:rsidR="00B93DEF" w:rsidRDefault="00B93DEF" w:rsidP="00E960D3">
      <w:pPr>
        <w:rPr>
          <w:rFonts w:cs="Arial"/>
          <w:b/>
          <w:i/>
          <w:iCs/>
          <w:color w:val="01ADAB"/>
          <w:szCs w:val="20"/>
        </w:rPr>
      </w:pPr>
    </w:p>
    <w:p w14:paraId="5FEC8AB0" w14:textId="754EE46E" w:rsidR="00E960D3" w:rsidRDefault="00E960D3" w:rsidP="00E960D3">
      <w:pPr>
        <w:rPr>
          <w:rFonts w:cs="Arial"/>
          <w:b/>
          <w:i/>
          <w:iCs/>
          <w:color w:val="01ADAB"/>
          <w:szCs w:val="20"/>
        </w:rPr>
      </w:pPr>
      <w:r>
        <w:rPr>
          <w:rFonts w:cs="Arial"/>
          <w:b/>
          <w:i/>
          <w:iCs/>
          <w:color w:val="01ADAB"/>
          <w:szCs w:val="20"/>
        </w:rPr>
        <w:t xml:space="preserve">November 17,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Lessons Learned from Vizient’s 2019 Workplace Violence Benchmarking Study</w:t>
      </w:r>
    </w:p>
    <w:p w14:paraId="10917136" w14:textId="77777777" w:rsidR="00E960D3" w:rsidRDefault="00E960D3" w:rsidP="00E960D3">
      <w:pPr>
        <w:rPr>
          <w:rFonts w:cs="Arial"/>
          <w:b/>
          <w:color w:val="595959" w:themeColor="text1" w:themeTint="A6"/>
          <w:szCs w:val="20"/>
          <w:u w:val="single"/>
        </w:rPr>
      </w:pPr>
    </w:p>
    <w:p w14:paraId="37DAD3DA" w14:textId="77777777" w:rsidR="00E960D3" w:rsidRDefault="00E960D3" w:rsidP="00E960D3">
      <w:pPr>
        <w:rPr>
          <w:rFonts w:cs="Arial"/>
          <w:b/>
          <w:color w:val="595959" w:themeColor="text1" w:themeTint="A6"/>
          <w:szCs w:val="20"/>
          <w:u w:val="single"/>
        </w:rPr>
      </w:pPr>
      <w:r w:rsidRPr="00145C63">
        <w:rPr>
          <w:rFonts w:cs="Arial"/>
          <w:b/>
          <w:color w:val="595959" w:themeColor="text1" w:themeTint="A6"/>
          <w:szCs w:val="20"/>
          <w:u w:val="single"/>
        </w:rPr>
        <w:t>Designation Statement</w:t>
      </w:r>
      <w:r>
        <w:rPr>
          <w:rFonts w:cs="Arial"/>
          <w:b/>
          <w:color w:val="595959" w:themeColor="text1" w:themeTint="A6"/>
          <w:szCs w:val="20"/>
          <w:u w:val="single"/>
        </w:rPr>
        <w:t>s</w:t>
      </w:r>
      <w:r w:rsidRPr="00145C63">
        <w:rPr>
          <w:rFonts w:cs="Arial"/>
          <w:b/>
          <w:color w:val="595959" w:themeColor="text1" w:themeTint="A6"/>
          <w:szCs w:val="20"/>
          <w:u w:val="single"/>
        </w:rPr>
        <w:t>:</w:t>
      </w:r>
    </w:p>
    <w:p w14:paraId="60FE187A" w14:textId="77777777" w:rsidR="00E960D3" w:rsidRPr="00145C63" w:rsidRDefault="00E960D3" w:rsidP="00E960D3">
      <w:pPr>
        <w:rPr>
          <w:rFonts w:cs="Arial"/>
          <w:color w:val="595959" w:themeColor="text1" w:themeTint="A6"/>
          <w:szCs w:val="20"/>
        </w:rPr>
      </w:pPr>
    </w:p>
    <w:p w14:paraId="0EFDE8B3" w14:textId="77777777" w:rsidR="00E960D3" w:rsidRDefault="00E960D3" w:rsidP="00E960D3">
      <w:pPr>
        <w:pStyle w:val="Heading4"/>
        <w:rPr>
          <w:rFonts w:cs="Arial"/>
          <w:color w:val="595959" w:themeColor="text1" w:themeTint="A6"/>
        </w:rPr>
      </w:pPr>
      <w:r>
        <w:rPr>
          <w:rFonts w:cs="Arial"/>
          <w:color w:val="595959" w:themeColor="text1" w:themeTint="A6"/>
        </w:rPr>
        <w:t>NURSING</w:t>
      </w:r>
    </w:p>
    <w:p w14:paraId="3DD4CF7A" w14:textId="77777777" w:rsidR="00E960D3" w:rsidRDefault="00E960D3" w:rsidP="00E960D3">
      <w:pPr>
        <w:rPr>
          <w:rFonts w:cs="Arial"/>
          <w:color w:val="595959" w:themeColor="text1" w:themeTint="A6"/>
          <w:szCs w:val="20"/>
        </w:rPr>
      </w:pPr>
      <w:r>
        <w:rPr>
          <w:rFonts w:cs="Arial"/>
          <w:color w:val="595959" w:themeColor="text1" w:themeTint="A6"/>
          <w:szCs w:val="20"/>
        </w:rPr>
        <w:t>This activity is designated for 1.25 contact hours.</w:t>
      </w:r>
    </w:p>
    <w:p w14:paraId="28285ADB" w14:textId="77777777" w:rsidR="00E960D3" w:rsidRDefault="00E960D3" w:rsidP="00E960D3">
      <w:pPr>
        <w:rPr>
          <w:rFonts w:cs="Arial"/>
          <w:color w:val="595959" w:themeColor="text1" w:themeTint="A6"/>
          <w:szCs w:val="20"/>
        </w:rPr>
      </w:pPr>
    </w:p>
    <w:p w14:paraId="2F324DBD" w14:textId="77777777" w:rsidR="00E960D3" w:rsidRDefault="00E960D3" w:rsidP="00E960D3">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1.50 contact hours.</w:t>
      </w:r>
    </w:p>
    <w:p w14:paraId="7276C4D9" w14:textId="77777777" w:rsidR="00E960D3" w:rsidRDefault="00E960D3" w:rsidP="00E960D3">
      <w:pPr>
        <w:pStyle w:val="Heading3"/>
        <w:rPr>
          <w:rFonts w:cs="Arial"/>
          <w:b w:val="0"/>
          <w:bCs w:val="0"/>
          <w:color w:val="595959" w:themeColor="text1" w:themeTint="A6"/>
        </w:rPr>
      </w:pPr>
      <w:r>
        <w:rPr>
          <w:rFonts w:cs="Arial"/>
          <w:color w:val="595959" w:themeColor="text1" w:themeTint="A6"/>
        </w:rPr>
        <w:t>CEU</w:t>
      </w:r>
    </w:p>
    <w:p w14:paraId="516AB4FD" w14:textId="77777777" w:rsidR="00E960D3" w:rsidRDefault="00E960D3" w:rsidP="00E960D3">
      <w:pPr>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05AE2701" w14:textId="77777777" w:rsidR="00E960D3" w:rsidRPr="00413B24" w:rsidRDefault="00E960D3" w:rsidP="00E960D3"/>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w:t>
      </w:r>
      <w:r w:rsidRPr="00145C63">
        <w:rPr>
          <w:rFonts w:eastAsia="Times" w:cs="Arial"/>
          <w:color w:val="595959" w:themeColor="text1" w:themeTint="A6"/>
          <w:szCs w:val="20"/>
        </w:rPr>
        <w:lastRenderedPageBreak/>
        <w:t>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06511E56" w:rsidR="00CB449D" w:rsidRPr="00D52CC9" w:rsidRDefault="00CB449D" w:rsidP="00465422">
      <w:pPr>
        <w:pStyle w:val="Heading3"/>
        <w:rPr>
          <w:rFonts w:cs="Arial"/>
          <w:bCs w:val="0"/>
          <w:i/>
          <w:iCs/>
          <w:color w:val="595959" w:themeColor="text1" w:themeTint="A6"/>
          <w:szCs w:val="20"/>
        </w:rPr>
      </w:pPr>
      <w:r w:rsidRPr="00465422">
        <w:rPr>
          <w:rFonts w:cs="Arial"/>
          <w:b w:val="0"/>
          <w:snapToGrid w:val="0"/>
          <w:color w:val="595959" w:themeColor="text1" w:themeTint="A6"/>
        </w:rPr>
        <w:t>Relevant financial relationships:</w:t>
      </w:r>
      <w:r w:rsidR="00E403C9" w:rsidRPr="00465422">
        <w:rPr>
          <w:rFonts w:cs="Arial"/>
          <w:b w:val="0"/>
          <w:snapToGrid w:val="0"/>
          <w:color w:val="595959" w:themeColor="text1" w:themeTint="A6"/>
        </w:rPr>
        <w:t xml:space="preserve"> </w:t>
      </w:r>
      <w:r w:rsidR="00465422" w:rsidRPr="00465422">
        <w:rPr>
          <w:rFonts w:cs="Arial"/>
          <w:b w:val="0"/>
          <w:snapToGrid w:val="0"/>
          <w:color w:val="595959" w:themeColor="text1" w:themeTint="A6"/>
        </w:rPr>
        <w:t>None of the planning committee or presenters have anything to disclose.</w:t>
      </w:r>
      <w:r w:rsidR="00E403C9" w:rsidRPr="00465422">
        <w:rPr>
          <w:rFonts w:cs="Arial"/>
          <w:b w:val="0"/>
          <w:snapToGrid w:val="0"/>
          <w:color w:val="595959" w:themeColor="text1" w:themeTint="A6"/>
        </w:rPr>
        <w:t xml:space="preserve"> </w:t>
      </w:r>
      <w:r w:rsidR="00E403C9">
        <w:rPr>
          <w:rFonts w:cs="Arial"/>
          <w:i/>
          <w:iCs/>
          <w:color w:val="595959" w:themeColor="text1" w:themeTint="A6"/>
          <w:szCs w:val="20"/>
        </w:rPr>
        <w:t xml:space="preserve"> </w:t>
      </w:r>
    </w:p>
    <w:p w14:paraId="58ABF095" w14:textId="77777777" w:rsidR="00502B84" w:rsidRDefault="00502B84" w:rsidP="00CB449D">
      <w:pPr>
        <w:pStyle w:val="Heading3"/>
        <w:spacing w:before="240" w:after="120"/>
        <w:contextualSpacing/>
        <w:rPr>
          <w:rFonts w:cs="Arial"/>
          <w:b w:val="0"/>
          <w:bCs w:val="0"/>
          <w:color w:val="01ADAB"/>
          <w:sz w:val="24"/>
        </w:rPr>
      </w:pPr>
    </w:p>
    <w:p w14:paraId="01680F72" w14:textId="77190F44" w:rsidR="00CB449D" w:rsidRPr="008608F3" w:rsidRDefault="00CB449D" w:rsidP="00CB449D">
      <w:pPr>
        <w:pStyle w:val="Heading3"/>
        <w:spacing w:before="240" w:after="120"/>
        <w:contextualSpacing/>
        <w:rPr>
          <w:rFonts w:cs="Arial"/>
          <w:b w:val="0"/>
          <w:bCs w:val="0"/>
          <w:color w:val="01ADAB"/>
          <w:szCs w:val="20"/>
        </w:rPr>
      </w:pPr>
      <w:r w:rsidRPr="008608F3">
        <w:rPr>
          <w:rFonts w:cs="Arial"/>
          <w:b w:val="0"/>
          <w:bCs w:val="0"/>
          <w:color w:val="01ADAB"/>
          <w:szCs w:val="20"/>
        </w:rPr>
        <w:t>Planning committee members</w:t>
      </w:r>
    </w:p>
    <w:p w14:paraId="079A1018" w14:textId="77777777" w:rsidR="00502B84" w:rsidRPr="008608F3" w:rsidRDefault="00502B84" w:rsidP="00502B84">
      <w:pPr>
        <w:contextualSpacing/>
        <w:rPr>
          <w:bCs/>
          <w:color w:val="595959" w:themeColor="text1" w:themeTint="A6"/>
          <w:szCs w:val="20"/>
        </w:rPr>
      </w:pPr>
      <w:r w:rsidRPr="008608F3">
        <w:rPr>
          <w:bCs/>
          <w:color w:val="595959" w:themeColor="text1" w:themeTint="A6"/>
          <w:szCs w:val="20"/>
        </w:rPr>
        <w:t>Shaifali Ray, MHA</w:t>
      </w:r>
    </w:p>
    <w:p w14:paraId="3C682A0F" w14:textId="77777777" w:rsidR="00502B84" w:rsidRPr="008608F3" w:rsidRDefault="00502B84" w:rsidP="00502B84">
      <w:pPr>
        <w:contextualSpacing/>
        <w:rPr>
          <w:bCs/>
          <w:color w:val="595959" w:themeColor="text1" w:themeTint="A6"/>
          <w:szCs w:val="20"/>
        </w:rPr>
      </w:pPr>
      <w:r w:rsidRPr="008608F3">
        <w:rPr>
          <w:bCs/>
          <w:color w:val="595959" w:themeColor="text1" w:themeTint="A6"/>
          <w:szCs w:val="20"/>
        </w:rPr>
        <w:t>Senior Networks Director, Member Connections</w:t>
      </w:r>
    </w:p>
    <w:p w14:paraId="032243EA" w14:textId="77777777" w:rsidR="00502B84" w:rsidRPr="008608F3" w:rsidRDefault="00502B84" w:rsidP="00502B84">
      <w:pPr>
        <w:contextualSpacing/>
        <w:rPr>
          <w:bCs/>
          <w:color w:val="595959" w:themeColor="text1" w:themeTint="A6"/>
          <w:szCs w:val="20"/>
        </w:rPr>
      </w:pPr>
      <w:r w:rsidRPr="008608F3">
        <w:rPr>
          <w:bCs/>
          <w:color w:val="595959" w:themeColor="text1" w:themeTint="A6"/>
          <w:szCs w:val="20"/>
        </w:rPr>
        <w:t>Vizient</w:t>
      </w:r>
    </w:p>
    <w:p w14:paraId="54941FE7" w14:textId="77777777" w:rsidR="00502B84" w:rsidRPr="008608F3" w:rsidRDefault="00502B84" w:rsidP="00502B84">
      <w:pPr>
        <w:rPr>
          <w:bCs/>
          <w:color w:val="595959" w:themeColor="text1" w:themeTint="A6"/>
          <w:szCs w:val="20"/>
        </w:rPr>
      </w:pPr>
    </w:p>
    <w:p w14:paraId="5198CE17" w14:textId="77777777" w:rsidR="00502B84" w:rsidRPr="008608F3" w:rsidRDefault="00502B84" w:rsidP="00502B84">
      <w:pPr>
        <w:rPr>
          <w:bCs/>
          <w:color w:val="595959" w:themeColor="text1" w:themeTint="A6"/>
          <w:szCs w:val="20"/>
        </w:rPr>
      </w:pPr>
      <w:r w:rsidRPr="008608F3">
        <w:rPr>
          <w:bCs/>
          <w:color w:val="595959" w:themeColor="text1" w:themeTint="A6"/>
          <w:szCs w:val="20"/>
        </w:rPr>
        <w:t>Ellen Flynn, BSN, MBA, JD</w:t>
      </w:r>
    </w:p>
    <w:p w14:paraId="6E272BC8" w14:textId="77777777" w:rsidR="00502B84" w:rsidRPr="008608F3" w:rsidRDefault="00502B84" w:rsidP="00502B84">
      <w:pPr>
        <w:rPr>
          <w:bCs/>
          <w:color w:val="595959" w:themeColor="text1" w:themeTint="A6"/>
          <w:szCs w:val="20"/>
        </w:rPr>
      </w:pPr>
      <w:r w:rsidRPr="008608F3">
        <w:rPr>
          <w:bCs/>
          <w:color w:val="595959" w:themeColor="text1" w:themeTint="A6"/>
          <w:szCs w:val="20"/>
        </w:rPr>
        <w:t>AVP Safety Programs</w:t>
      </w:r>
    </w:p>
    <w:p w14:paraId="6FC79948" w14:textId="77777777" w:rsidR="00502B84" w:rsidRPr="008608F3" w:rsidRDefault="00502B84" w:rsidP="00502B84">
      <w:pPr>
        <w:rPr>
          <w:bCs/>
          <w:color w:val="595959" w:themeColor="text1" w:themeTint="A6"/>
          <w:szCs w:val="20"/>
        </w:rPr>
      </w:pPr>
      <w:r w:rsidRPr="008608F3">
        <w:rPr>
          <w:bCs/>
          <w:color w:val="595959" w:themeColor="text1" w:themeTint="A6"/>
          <w:szCs w:val="20"/>
        </w:rPr>
        <w:t>Vizient</w:t>
      </w:r>
    </w:p>
    <w:p w14:paraId="57504249" w14:textId="77777777" w:rsidR="00502B84" w:rsidRPr="008608F3" w:rsidRDefault="00502B84" w:rsidP="00502B84">
      <w:pPr>
        <w:rPr>
          <w:bCs/>
          <w:color w:val="595959" w:themeColor="text1" w:themeTint="A6"/>
          <w:szCs w:val="20"/>
        </w:rPr>
      </w:pPr>
    </w:p>
    <w:p w14:paraId="3D0BD059" w14:textId="77777777" w:rsidR="00502B84" w:rsidRPr="008608F3" w:rsidRDefault="00502B84" w:rsidP="00502B84">
      <w:pPr>
        <w:rPr>
          <w:bCs/>
          <w:color w:val="595959" w:themeColor="text1" w:themeTint="A6"/>
          <w:szCs w:val="20"/>
        </w:rPr>
      </w:pPr>
      <w:r w:rsidRPr="008608F3">
        <w:rPr>
          <w:bCs/>
          <w:color w:val="595959" w:themeColor="text1" w:themeTint="A6"/>
          <w:szCs w:val="20"/>
        </w:rPr>
        <w:t>Lindsay Mayer, RN, MSN, CPHQ</w:t>
      </w:r>
    </w:p>
    <w:p w14:paraId="0944BA68" w14:textId="6576D236" w:rsidR="00502B84" w:rsidRPr="008608F3" w:rsidRDefault="00502B84" w:rsidP="00502B84">
      <w:pPr>
        <w:rPr>
          <w:bCs/>
          <w:color w:val="595959" w:themeColor="text1" w:themeTint="A6"/>
          <w:szCs w:val="20"/>
        </w:rPr>
      </w:pPr>
      <w:r w:rsidRPr="008608F3">
        <w:rPr>
          <w:bCs/>
          <w:color w:val="595959" w:themeColor="text1" w:themeTint="A6"/>
          <w:szCs w:val="20"/>
        </w:rPr>
        <w:t>Director, PI Programs</w:t>
      </w:r>
    </w:p>
    <w:p w14:paraId="2CAFD39E" w14:textId="77777777" w:rsidR="00502B84" w:rsidRPr="008608F3" w:rsidRDefault="00502B84" w:rsidP="00502B84">
      <w:pPr>
        <w:rPr>
          <w:bCs/>
          <w:color w:val="595959" w:themeColor="text1" w:themeTint="A6"/>
          <w:szCs w:val="20"/>
        </w:rPr>
      </w:pPr>
      <w:r w:rsidRPr="008608F3">
        <w:rPr>
          <w:bCs/>
          <w:color w:val="595959" w:themeColor="text1" w:themeTint="A6"/>
          <w:szCs w:val="20"/>
        </w:rPr>
        <w:t>Lead Nurse Review/Planner</w:t>
      </w:r>
    </w:p>
    <w:p w14:paraId="3ED03E57" w14:textId="30F73CD9" w:rsidR="002008C1" w:rsidRPr="008608F3" w:rsidRDefault="00502B84" w:rsidP="00502B84">
      <w:pPr>
        <w:rPr>
          <w:bCs/>
          <w:color w:val="595959" w:themeColor="text1" w:themeTint="A6"/>
          <w:szCs w:val="20"/>
        </w:rPr>
      </w:pPr>
      <w:r w:rsidRPr="008608F3">
        <w:rPr>
          <w:bCs/>
          <w:color w:val="595959" w:themeColor="text1" w:themeTint="A6"/>
          <w:szCs w:val="20"/>
        </w:rPr>
        <w:t>Vizient</w:t>
      </w:r>
    </w:p>
    <w:p w14:paraId="17E61F49" w14:textId="77777777" w:rsidR="00502B84" w:rsidRPr="008608F3" w:rsidRDefault="00502B84" w:rsidP="00502B84">
      <w:pPr>
        <w:rPr>
          <w:bCs/>
          <w:color w:val="595959" w:themeColor="text1" w:themeTint="A6"/>
          <w:szCs w:val="20"/>
        </w:rPr>
      </w:pPr>
    </w:p>
    <w:p w14:paraId="1B53198A" w14:textId="18E61F72" w:rsidR="002008C1" w:rsidRPr="008608F3" w:rsidRDefault="002008C1" w:rsidP="00502B84">
      <w:pPr>
        <w:rPr>
          <w:rFonts w:cs="Arial"/>
          <w:color w:val="01ADAB"/>
          <w:szCs w:val="20"/>
        </w:rPr>
      </w:pPr>
      <w:r w:rsidRPr="008608F3">
        <w:rPr>
          <w:rFonts w:cs="Arial"/>
          <w:color w:val="01ADAB"/>
          <w:szCs w:val="20"/>
        </w:rPr>
        <w:t>C</w:t>
      </w:r>
      <w:r w:rsidR="00502B84" w:rsidRPr="008608F3">
        <w:rPr>
          <w:rFonts w:cs="Arial"/>
          <w:color w:val="01ADAB"/>
          <w:szCs w:val="20"/>
        </w:rPr>
        <w:t>ourse Reviewer</w:t>
      </w:r>
    </w:p>
    <w:p w14:paraId="4F512584" w14:textId="77777777" w:rsidR="00502B84" w:rsidRPr="008608F3" w:rsidRDefault="00502B84" w:rsidP="00502B84">
      <w:pPr>
        <w:rPr>
          <w:rFonts w:cs="Arial"/>
          <w:color w:val="01ADAB"/>
          <w:szCs w:val="20"/>
        </w:rPr>
      </w:pPr>
    </w:p>
    <w:p w14:paraId="24D68C3C" w14:textId="77777777" w:rsidR="00502B84" w:rsidRPr="008608F3" w:rsidRDefault="00502B84" w:rsidP="00502B84">
      <w:pPr>
        <w:rPr>
          <w:bCs/>
          <w:color w:val="595959" w:themeColor="text1" w:themeTint="A6"/>
          <w:szCs w:val="20"/>
        </w:rPr>
      </w:pPr>
      <w:r w:rsidRPr="008608F3">
        <w:rPr>
          <w:bCs/>
          <w:color w:val="595959" w:themeColor="text1" w:themeTint="A6"/>
          <w:szCs w:val="20"/>
        </w:rPr>
        <w:t>Lindsay Mayer, RN, MSN, CPHQ</w:t>
      </w:r>
    </w:p>
    <w:p w14:paraId="55CEA28D" w14:textId="77777777" w:rsidR="00502B84" w:rsidRPr="008608F3" w:rsidRDefault="00502B84" w:rsidP="00502B84">
      <w:pPr>
        <w:rPr>
          <w:bCs/>
          <w:color w:val="595959" w:themeColor="text1" w:themeTint="A6"/>
          <w:szCs w:val="20"/>
        </w:rPr>
      </w:pPr>
      <w:r w:rsidRPr="008608F3">
        <w:rPr>
          <w:bCs/>
          <w:color w:val="595959" w:themeColor="text1" w:themeTint="A6"/>
          <w:szCs w:val="20"/>
        </w:rPr>
        <w:t>Director, PI Programs</w:t>
      </w:r>
    </w:p>
    <w:p w14:paraId="733EE35F" w14:textId="77777777" w:rsidR="00502B84" w:rsidRPr="008608F3" w:rsidRDefault="00502B84" w:rsidP="00502B84">
      <w:pPr>
        <w:rPr>
          <w:bCs/>
          <w:color w:val="595959" w:themeColor="text1" w:themeTint="A6"/>
          <w:szCs w:val="20"/>
        </w:rPr>
      </w:pPr>
      <w:r w:rsidRPr="008608F3">
        <w:rPr>
          <w:bCs/>
          <w:color w:val="595959" w:themeColor="text1" w:themeTint="A6"/>
          <w:szCs w:val="20"/>
        </w:rPr>
        <w:t>Lead Nurse Review/Planner</w:t>
      </w:r>
    </w:p>
    <w:p w14:paraId="4EA59FC8" w14:textId="77777777" w:rsidR="00502B84" w:rsidRPr="008608F3" w:rsidRDefault="00502B84" w:rsidP="00502B84">
      <w:pPr>
        <w:rPr>
          <w:bCs/>
          <w:color w:val="595959" w:themeColor="text1" w:themeTint="A6"/>
          <w:szCs w:val="20"/>
        </w:rPr>
      </w:pPr>
      <w:r w:rsidRPr="008608F3">
        <w:rPr>
          <w:bCs/>
          <w:color w:val="595959" w:themeColor="text1" w:themeTint="A6"/>
          <w:szCs w:val="20"/>
        </w:rPr>
        <w:t>Vizient</w:t>
      </w:r>
    </w:p>
    <w:p w14:paraId="0B0D8A21" w14:textId="77777777" w:rsidR="00CB449D" w:rsidRPr="008608F3" w:rsidRDefault="00CB449D" w:rsidP="00CB449D">
      <w:pPr>
        <w:rPr>
          <w:color w:val="595959" w:themeColor="text1" w:themeTint="A6"/>
          <w:szCs w:val="20"/>
        </w:rPr>
      </w:pPr>
    </w:p>
    <w:p w14:paraId="7E02880C" w14:textId="4A7589E2" w:rsidR="00CB449D" w:rsidRPr="008608F3" w:rsidRDefault="00CB449D" w:rsidP="00E02270">
      <w:pPr>
        <w:pStyle w:val="Heading3"/>
        <w:spacing w:before="0"/>
        <w:rPr>
          <w:rFonts w:cs="Arial"/>
          <w:b w:val="0"/>
          <w:bCs w:val="0"/>
          <w:color w:val="01ADAB"/>
          <w:szCs w:val="20"/>
        </w:rPr>
      </w:pPr>
      <w:r w:rsidRPr="008608F3">
        <w:rPr>
          <w:rFonts w:cs="Arial"/>
          <w:b w:val="0"/>
          <w:bCs w:val="0"/>
          <w:color w:val="01ADAB"/>
          <w:szCs w:val="20"/>
        </w:rPr>
        <w:t>Presenter</w:t>
      </w:r>
      <w:r w:rsidR="00931CC7" w:rsidRPr="008608F3">
        <w:rPr>
          <w:rFonts w:cs="Arial"/>
          <w:b w:val="0"/>
          <w:bCs w:val="0"/>
          <w:color w:val="01ADAB"/>
          <w:szCs w:val="20"/>
        </w:rPr>
        <w:t>s</w:t>
      </w:r>
    </w:p>
    <w:p w14:paraId="1A99FBFF" w14:textId="77777777" w:rsidR="00861ABD" w:rsidRPr="008608F3" w:rsidRDefault="00861ABD" w:rsidP="00861ABD">
      <w:pPr>
        <w:rPr>
          <w:szCs w:val="20"/>
        </w:rPr>
      </w:pPr>
    </w:p>
    <w:p w14:paraId="7D5AA624" w14:textId="77777777" w:rsidR="000E6907" w:rsidRPr="008608F3" w:rsidRDefault="000E6907" w:rsidP="000E6907">
      <w:pPr>
        <w:rPr>
          <w:bCs/>
          <w:color w:val="595959" w:themeColor="text1" w:themeTint="A6"/>
          <w:szCs w:val="20"/>
        </w:rPr>
      </w:pPr>
      <w:r w:rsidRPr="008608F3">
        <w:rPr>
          <w:bCs/>
          <w:color w:val="595959" w:themeColor="text1" w:themeTint="A6"/>
          <w:szCs w:val="20"/>
        </w:rPr>
        <w:t>Beth Haruben Jackson, MS</w:t>
      </w:r>
    </w:p>
    <w:p w14:paraId="19A4B71B" w14:textId="77777777" w:rsidR="000E6907" w:rsidRPr="008608F3" w:rsidRDefault="000E6907" w:rsidP="000E6907">
      <w:pPr>
        <w:rPr>
          <w:bCs/>
          <w:color w:val="595959" w:themeColor="text1" w:themeTint="A6"/>
          <w:szCs w:val="20"/>
        </w:rPr>
      </w:pPr>
      <w:r w:rsidRPr="008608F3">
        <w:rPr>
          <w:bCs/>
          <w:color w:val="595959" w:themeColor="text1" w:themeTint="A6"/>
          <w:szCs w:val="20"/>
        </w:rPr>
        <w:t>Senior Risk Manager</w:t>
      </w:r>
    </w:p>
    <w:p w14:paraId="5F113C61" w14:textId="77777777" w:rsidR="000E6907" w:rsidRPr="008608F3" w:rsidRDefault="000E6907" w:rsidP="000E6907">
      <w:pPr>
        <w:rPr>
          <w:bCs/>
          <w:color w:val="595959" w:themeColor="text1" w:themeTint="A6"/>
          <w:szCs w:val="20"/>
        </w:rPr>
      </w:pPr>
      <w:r w:rsidRPr="008608F3">
        <w:rPr>
          <w:bCs/>
          <w:color w:val="595959" w:themeColor="text1" w:themeTint="A6"/>
          <w:szCs w:val="20"/>
        </w:rPr>
        <w:t>Tufts Medical Center</w:t>
      </w:r>
    </w:p>
    <w:p w14:paraId="33465092" w14:textId="77777777" w:rsidR="000E6907" w:rsidRPr="008608F3" w:rsidRDefault="000E6907" w:rsidP="000E6907">
      <w:pPr>
        <w:rPr>
          <w:bCs/>
          <w:color w:val="595959" w:themeColor="text1" w:themeTint="A6"/>
          <w:szCs w:val="20"/>
        </w:rPr>
      </w:pPr>
    </w:p>
    <w:p w14:paraId="2B8DCA21" w14:textId="77777777" w:rsidR="000E6907" w:rsidRPr="008608F3" w:rsidRDefault="000E6907" w:rsidP="000E6907">
      <w:pPr>
        <w:rPr>
          <w:bCs/>
          <w:color w:val="595959" w:themeColor="text1" w:themeTint="A6"/>
          <w:szCs w:val="20"/>
        </w:rPr>
      </w:pPr>
      <w:r w:rsidRPr="008608F3">
        <w:rPr>
          <w:bCs/>
          <w:color w:val="595959" w:themeColor="text1" w:themeTint="A6"/>
          <w:szCs w:val="20"/>
        </w:rPr>
        <w:t>Amber Styles, BS, MS</w:t>
      </w:r>
    </w:p>
    <w:p w14:paraId="79902CB3" w14:textId="77777777" w:rsidR="000E6907" w:rsidRPr="008608F3" w:rsidRDefault="000E6907" w:rsidP="000E6907">
      <w:pPr>
        <w:rPr>
          <w:bCs/>
          <w:color w:val="595959" w:themeColor="text1" w:themeTint="A6"/>
          <w:szCs w:val="20"/>
        </w:rPr>
      </w:pPr>
      <w:r w:rsidRPr="008608F3">
        <w:rPr>
          <w:bCs/>
          <w:color w:val="595959" w:themeColor="text1" w:themeTint="A6"/>
          <w:szCs w:val="20"/>
        </w:rPr>
        <w:t>Senior Director of Regulatory Compliance/Risk Management</w:t>
      </w:r>
    </w:p>
    <w:p w14:paraId="2B0FD1A1" w14:textId="77777777" w:rsidR="000E6907" w:rsidRPr="008608F3" w:rsidRDefault="000E6907" w:rsidP="000E6907">
      <w:pPr>
        <w:rPr>
          <w:bCs/>
          <w:color w:val="595959" w:themeColor="text1" w:themeTint="A6"/>
          <w:szCs w:val="20"/>
        </w:rPr>
      </w:pPr>
      <w:r w:rsidRPr="008608F3">
        <w:rPr>
          <w:bCs/>
          <w:color w:val="595959" w:themeColor="text1" w:themeTint="A6"/>
          <w:szCs w:val="20"/>
        </w:rPr>
        <w:t>The University of Kansas Health System</w:t>
      </w:r>
    </w:p>
    <w:p w14:paraId="18E9D80B" w14:textId="77777777" w:rsidR="000E6907" w:rsidRPr="008608F3" w:rsidRDefault="000E6907" w:rsidP="000E6907">
      <w:pPr>
        <w:rPr>
          <w:bCs/>
          <w:color w:val="595959" w:themeColor="text1" w:themeTint="A6"/>
          <w:szCs w:val="20"/>
        </w:rPr>
      </w:pPr>
    </w:p>
    <w:p w14:paraId="5E11ED92" w14:textId="77777777" w:rsidR="000E6907" w:rsidRPr="008608F3" w:rsidRDefault="000E6907" w:rsidP="000E6907">
      <w:pPr>
        <w:rPr>
          <w:bCs/>
          <w:color w:val="595959" w:themeColor="text1" w:themeTint="A6"/>
          <w:szCs w:val="20"/>
        </w:rPr>
      </w:pPr>
      <w:r w:rsidRPr="008608F3">
        <w:rPr>
          <w:bCs/>
          <w:color w:val="595959" w:themeColor="text1" w:themeTint="A6"/>
          <w:szCs w:val="20"/>
        </w:rPr>
        <w:t>Rhonda Perna, JD</w:t>
      </w:r>
    </w:p>
    <w:p w14:paraId="70D3D021" w14:textId="77777777" w:rsidR="000E6907" w:rsidRPr="008608F3" w:rsidRDefault="000E6907" w:rsidP="000E6907">
      <w:pPr>
        <w:rPr>
          <w:bCs/>
          <w:color w:val="595959" w:themeColor="text1" w:themeTint="A6"/>
          <w:szCs w:val="20"/>
        </w:rPr>
      </w:pPr>
      <w:r w:rsidRPr="008608F3">
        <w:rPr>
          <w:bCs/>
          <w:color w:val="595959" w:themeColor="text1" w:themeTint="A6"/>
          <w:szCs w:val="20"/>
        </w:rPr>
        <w:t>Director, Risk Management &amp; Patient Safety</w:t>
      </w:r>
    </w:p>
    <w:p w14:paraId="08E476E1" w14:textId="77777777" w:rsidR="000E6907" w:rsidRPr="008608F3" w:rsidRDefault="000E6907" w:rsidP="000E6907">
      <w:pPr>
        <w:rPr>
          <w:bCs/>
          <w:color w:val="595959" w:themeColor="text1" w:themeTint="A6"/>
          <w:szCs w:val="20"/>
        </w:rPr>
      </w:pPr>
      <w:r w:rsidRPr="008608F3">
        <w:rPr>
          <w:bCs/>
          <w:color w:val="595959" w:themeColor="text1" w:themeTint="A6"/>
          <w:szCs w:val="20"/>
        </w:rPr>
        <w:t>University of Illinois Hospital &amp; Health Sciences System</w:t>
      </w:r>
    </w:p>
    <w:p w14:paraId="3FB15700" w14:textId="77777777" w:rsidR="000E6907" w:rsidRPr="008608F3" w:rsidRDefault="000E6907" w:rsidP="000E6907">
      <w:pPr>
        <w:rPr>
          <w:bCs/>
          <w:color w:val="595959" w:themeColor="text1" w:themeTint="A6"/>
          <w:szCs w:val="20"/>
        </w:rPr>
      </w:pPr>
    </w:p>
    <w:p w14:paraId="11637CDC" w14:textId="77777777" w:rsidR="000E6907" w:rsidRPr="008608F3" w:rsidRDefault="000E6907" w:rsidP="000E6907">
      <w:pPr>
        <w:rPr>
          <w:bCs/>
          <w:color w:val="595959" w:themeColor="text1" w:themeTint="A6"/>
          <w:szCs w:val="20"/>
        </w:rPr>
      </w:pPr>
      <w:r w:rsidRPr="008608F3">
        <w:rPr>
          <w:bCs/>
          <w:color w:val="595959" w:themeColor="text1" w:themeTint="A6"/>
          <w:szCs w:val="20"/>
        </w:rPr>
        <w:t>Josh Hyatt, DH.Sc., MHL, MBE (c), DFASHRM, CPHRM, HEC-C</w:t>
      </w:r>
    </w:p>
    <w:p w14:paraId="30B9BFF1" w14:textId="77777777" w:rsidR="000E6907" w:rsidRPr="008608F3" w:rsidRDefault="000E6907" w:rsidP="000E6907">
      <w:pPr>
        <w:rPr>
          <w:bCs/>
          <w:color w:val="595959" w:themeColor="text1" w:themeTint="A6"/>
          <w:szCs w:val="20"/>
        </w:rPr>
      </w:pPr>
      <w:r w:rsidRPr="008608F3">
        <w:rPr>
          <w:bCs/>
          <w:color w:val="595959" w:themeColor="text1" w:themeTint="A6"/>
          <w:szCs w:val="20"/>
        </w:rPr>
        <w:lastRenderedPageBreak/>
        <w:t>Risk Management Consultant</w:t>
      </w:r>
    </w:p>
    <w:p w14:paraId="610546FB" w14:textId="77777777" w:rsidR="000E6907" w:rsidRPr="008608F3" w:rsidRDefault="000E6907" w:rsidP="000E6907">
      <w:pPr>
        <w:rPr>
          <w:bCs/>
          <w:color w:val="595959" w:themeColor="text1" w:themeTint="A6"/>
          <w:szCs w:val="20"/>
        </w:rPr>
      </w:pPr>
      <w:r w:rsidRPr="008608F3">
        <w:rPr>
          <w:bCs/>
          <w:color w:val="595959" w:themeColor="text1" w:themeTint="A6"/>
          <w:szCs w:val="20"/>
        </w:rPr>
        <w:t>Coverys Center for Bioethics, Harvard Medical School</w:t>
      </w:r>
    </w:p>
    <w:p w14:paraId="2281017F" w14:textId="77777777" w:rsidR="000E6907" w:rsidRPr="008608F3" w:rsidRDefault="000E6907" w:rsidP="000E6907">
      <w:pPr>
        <w:rPr>
          <w:bCs/>
          <w:color w:val="595959" w:themeColor="text1" w:themeTint="A6"/>
          <w:szCs w:val="20"/>
        </w:rPr>
      </w:pPr>
    </w:p>
    <w:p w14:paraId="4A2337B5" w14:textId="77777777" w:rsidR="000E6907" w:rsidRPr="008608F3" w:rsidRDefault="000E6907" w:rsidP="000E6907">
      <w:pPr>
        <w:rPr>
          <w:bCs/>
          <w:color w:val="595959" w:themeColor="text1" w:themeTint="A6"/>
          <w:szCs w:val="20"/>
        </w:rPr>
      </w:pPr>
      <w:r w:rsidRPr="008608F3">
        <w:rPr>
          <w:bCs/>
          <w:color w:val="595959" w:themeColor="text1" w:themeTint="A6"/>
          <w:szCs w:val="20"/>
        </w:rPr>
        <w:t>Michael T. Trucco, BS, JD</w:t>
      </w:r>
    </w:p>
    <w:p w14:paraId="441CFB09" w14:textId="77777777" w:rsidR="000E6907" w:rsidRPr="008608F3" w:rsidRDefault="000E6907" w:rsidP="000E6907">
      <w:pPr>
        <w:rPr>
          <w:bCs/>
          <w:color w:val="595959" w:themeColor="text1" w:themeTint="A6"/>
          <w:szCs w:val="20"/>
        </w:rPr>
      </w:pPr>
      <w:r w:rsidRPr="008608F3">
        <w:rPr>
          <w:bCs/>
          <w:color w:val="595959" w:themeColor="text1" w:themeTint="A6"/>
          <w:szCs w:val="20"/>
        </w:rPr>
        <w:t>Partner</w:t>
      </w:r>
    </w:p>
    <w:p w14:paraId="26D771C5" w14:textId="77777777" w:rsidR="000E6907" w:rsidRPr="008608F3" w:rsidRDefault="000E6907" w:rsidP="000E6907">
      <w:pPr>
        <w:rPr>
          <w:bCs/>
          <w:color w:val="595959" w:themeColor="text1" w:themeTint="A6"/>
          <w:szCs w:val="20"/>
        </w:rPr>
      </w:pPr>
      <w:r w:rsidRPr="008608F3">
        <w:rPr>
          <w:bCs/>
          <w:color w:val="595959" w:themeColor="text1" w:themeTint="A6"/>
          <w:szCs w:val="20"/>
        </w:rPr>
        <w:t>Stamos &amp; Trucco LLP</w:t>
      </w:r>
    </w:p>
    <w:p w14:paraId="323462D1" w14:textId="77777777" w:rsidR="000E6907" w:rsidRPr="008608F3" w:rsidRDefault="000E6907" w:rsidP="000E6907">
      <w:pPr>
        <w:rPr>
          <w:bCs/>
          <w:color w:val="595959" w:themeColor="text1" w:themeTint="A6"/>
          <w:szCs w:val="20"/>
        </w:rPr>
      </w:pPr>
    </w:p>
    <w:p w14:paraId="1EBFB402" w14:textId="77777777" w:rsidR="000E6907" w:rsidRPr="008608F3" w:rsidRDefault="000E6907" w:rsidP="000E6907">
      <w:pPr>
        <w:rPr>
          <w:bCs/>
          <w:color w:val="595959" w:themeColor="text1" w:themeTint="A6"/>
          <w:szCs w:val="20"/>
        </w:rPr>
      </w:pPr>
      <w:r w:rsidRPr="008608F3">
        <w:rPr>
          <w:bCs/>
          <w:color w:val="595959" w:themeColor="text1" w:themeTint="A6"/>
          <w:szCs w:val="20"/>
        </w:rPr>
        <w:t>Lindsay Mayer, RN, MSN, CPHQ</w:t>
      </w:r>
    </w:p>
    <w:p w14:paraId="3B698087" w14:textId="77777777" w:rsidR="000E6907" w:rsidRPr="008608F3" w:rsidRDefault="000E6907" w:rsidP="000E6907">
      <w:pPr>
        <w:rPr>
          <w:bCs/>
          <w:color w:val="595959" w:themeColor="text1" w:themeTint="A6"/>
          <w:szCs w:val="20"/>
        </w:rPr>
      </w:pPr>
      <w:r w:rsidRPr="008608F3">
        <w:rPr>
          <w:bCs/>
          <w:color w:val="595959" w:themeColor="text1" w:themeTint="A6"/>
          <w:szCs w:val="20"/>
        </w:rPr>
        <w:t>PI Director</w:t>
      </w:r>
    </w:p>
    <w:p w14:paraId="59747FAD" w14:textId="77777777" w:rsidR="000E6907" w:rsidRPr="008608F3" w:rsidRDefault="000E6907" w:rsidP="000E6907">
      <w:pPr>
        <w:rPr>
          <w:bCs/>
          <w:color w:val="595959" w:themeColor="text1" w:themeTint="A6"/>
          <w:szCs w:val="20"/>
        </w:rPr>
      </w:pPr>
      <w:r w:rsidRPr="008608F3">
        <w:rPr>
          <w:bCs/>
          <w:color w:val="595959" w:themeColor="text1" w:themeTint="A6"/>
          <w:szCs w:val="20"/>
        </w:rPr>
        <w:t>Vizient</w:t>
      </w:r>
    </w:p>
    <w:p w14:paraId="69842F8D" w14:textId="77777777" w:rsidR="0016625F" w:rsidRPr="008608F3" w:rsidRDefault="0016625F" w:rsidP="0016625F">
      <w:pPr>
        <w:rPr>
          <w:bCs/>
          <w:color w:val="595959" w:themeColor="text1" w:themeTint="A6"/>
          <w:szCs w:val="20"/>
        </w:rPr>
      </w:pPr>
    </w:p>
    <w:sectPr w:rsidR="0016625F" w:rsidRPr="008608F3"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034C" w14:textId="77777777" w:rsidR="00670BC7" w:rsidRDefault="00670BC7" w:rsidP="00971D43">
      <w:r>
        <w:separator/>
      </w:r>
    </w:p>
  </w:endnote>
  <w:endnote w:type="continuationSeparator" w:id="0">
    <w:p w14:paraId="7A6224A5" w14:textId="77777777" w:rsidR="00670BC7" w:rsidRDefault="00670BC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61E1" w14:textId="77777777" w:rsidR="00670BC7" w:rsidRDefault="00670BC7" w:rsidP="00971D43">
      <w:r>
        <w:separator/>
      </w:r>
    </w:p>
  </w:footnote>
  <w:footnote w:type="continuationSeparator" w:id="0">
    <w:p w14:paraId="7C27FAF4" w14:textId="77777777" w:rsidR="00670BC7" w:rsidRDefault="00670BC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5CE3"/>
    <w:rsid w:val="000765B6"/>
    <w:rsid w:val="00095B16"/>
    <w:rsid w:val="000970CD"/>
    <w:rsid w:val="000D772B"/>
    <w:rsid w:val="000E6907"/>
    <w:rsid w:val="000F1401"/>
    <w:rsid w:val="00101E49"/>
    <w:rsid w:val="00102FC6"/>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6625F"/>
    <w:rsid w:val="001707FD"/>
    <w:rsid w:val="001716CE"/>
    <w:rsid w:val="00175E57"/>
    <w:rsid w:val="00182E6B"/>
    <w:rsid w:val="001834DD"/>
    <w:rsid w:val="00185D37"/>
    <w:rsid w:val="001D0832"/>
    <w:rsid w:val="001D2425"/>
    <w:rsid w:val="001D3415"/>
    <w:rsid w:val="001D56DD"/>
    <w:rsid w:val="001F5E4B"/>
    <w:rsid w:val="00200804"/>
    <w:rsid w:val="002008C1"/>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354"/>
    <w:rsid w:val="00335B46"/>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39E1"/>
    <w:rsid w:val="003F4336"/>
    <w:rsid w:val="003F4F86"/>
    <w:rsid w:val="004009F2"/>
    <w:rsid w:val="00410C34"/>
    <w:rsid w:val="00411B42"/>
    <w:rsid w:val="00412304"/>
    <w:rsid w:val="00413B24"/>
    <w:rsid w:val="0041759A"/>
    <w:rsid w:val="004206C3"/>
    <w:rsid w:val="00423054"/>
    <w:rsid w:val="00423B4D"/>
    <w:rsid w:val="00434ECD"/>
    <w:rsid w:val="00435E61"/>
    <w:rsid w:val="0043610D"/>
    <w:rsid w:val="004463DA"/>
    <w:rsid w:val="00451C91"/>
    <w:rsid w:val="00452B25"/>
    <w:rsid w:val="00463FCD"/>
    <w:rsid w:val="00465422"/>
    <w:rsid w:val="004722C1"/>
    <w:rsid w:val="004747C2"/>
    <w:rsid w:val="004814ED"/>
    <w:rsid w:val="0048354F"/>
    <w:rsid w:val="00486137"/>
    <w:rsid w:val="00486539"/>
    <w:rsid w:val="004A294A"/>
    <w:rsid w:val="004A35F8"/>
    <w:rsid w:val="004A5394"/>
    <w:rsid w:val="004A677D"/>
    <w:rsid w:val="004B0F88"/>
    <w:rsid w:val="004B3F48"/>
    <w:rsid w:val="004C3FD4"/>
    <w:rsid w:val="004C7923"/>
    <w:rsid w:val="004D66E5"/>
    <w:rsid w:val="00502B84"/>
    <w:rsid w:val="00504B99"/>
    <w:rsid w:val="00520393"/>
    <w:rsid w:val="005228D3"/>
    <w:rsid w:val="005349BB"/>
    <w:rsid w:val="00541FB2"/>
    <w:rsid w:val="00542D16"/>
    <w:rsid w:val="00552F0C"/>
    <w:rsid w:val="0055599E"/>
    <w:rsid w:val="00560C11"/>
    <w:rsid w:val="00560C84"/>
    <w:rsid w:val="00560CD0"/>
    <w:rsid w:val="00563BEA"/>
    <w:rsid w:val="00571EF5"/>
    <w:rsid w:val="00584286"/>
    <w:rsid w:val="00586A2D"/>
    <w:rsid w:val="00586A82"/>
    <w:rsid w:val="00587434"/>
    <w:rsid w:val="0059060D"/>
    <w:rsid w:val="00592B90"/>
    <w:rsid w:val="00594A26"/>
    <w:rsid w:val="005A607D"/>
    <w:rsid w:val="005A78EF"/>
    <w:rsid w:val="005C5387"/>
    <w:rsid w:val="005E3D23"/>
    <w:rsid w:val="005E5495"/>
    <w:rsid w:val="005F37E5"/>
    <w:rsid w:val="005F3EA9"/>
    <w:rsid w:val="005F53FC"/>
    <w:rsid w:val="005F7196"/>
    <w:rsid w:val="00607C19"/>
    <w:rsid w:val="00612814"/>
    <w:rsid w:val="0063036E"/>
    <w:rsid w:val="00636E51"/>
    <w:rsid w:val="00642B45"/>
    <w:rsid w:val="00654283"/>
    <w:rsid w:val="006642DD"/>
    <w:rsid w:val="00670BC7"/>
    <w:rsid w:val="006775CF"/>
    <w:rsid w:val="006A6544"/>
    <w:rsid w:val="006B43B7"/>
    <w:rsid w:val="006B6BF5"/>
    <w:rsid w:val="006B7975"/>
    <w:rsid w:val="006C2361"/>
    <w:rsid w:val="006C77D1"/>
    <w:rsid w:val="006E3F56"/>
    <w:rsid w:val="006F020F"/>
    <w:rsid w:val="006F1E6D"/>
    <w:rsid w:val="00701E38"/>
    <w:rsid w:val="00705313"/>
    <w:rsid w:val="00707853"/>
    <w:rsid w:val="00714301"/>
    <w:rsid w:val="00715300"/>
    <w:rsid w:val="007158FC"/>
    <w:rsid w:val="00723601"/>
    <w:rsid w:val="00723A2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08F3"/>
    <w:rsid w:val="00861ABD"/>
    <w:rsid w:val="008730EB"/>
    <w:rsid w:val="00880598"/>
    <w:rsid w:val="0088459B"/>
    <w:rsid w:val="00892A31"/>
    <w:rsid w:val="008939B0"/>
    <w:rsid w:val="008A32F5"/>
    <w:rsid w:val="008B127D"/>
    <w:rsid w:val="008B1E68"/>
    <w:rsid w:val="008D1039"/>
    <w:rsid w:val="008F0EC4"/>
    <w:rsid w:val="009225E4"/>
    <w:rsid w:val="00931508"/>
    <w:rsid w:val="009315AC"/>
    <w:rsid w:val="00931CC7"/>
    <w:rsid w:val="009322F6"/>
    <w:rsid w:val="00952F89"/>
    <w:rsid w:val="00954FE6"/>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678DE"/>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466"/>
    <w:rsid w:val="00B1796A"/>
    <w:rsid w:val="00B213B6"/>
    <w:rsid w:val="00B3199E"/>
    <w:rsid w:val="00B52641"/>
    <w:rsid w:val="00B640EE"/>
    <w:rsid w:val="00B65EAB"/>
    <w:rsid w:val="00B75EF3"/>
    <w:rsid w:val="00B7767D"/>
    <w:rsid w:val="00B82B14"/>
    <w:rsid w:val="00B82EE5"/>
    <w:rsid w:val="00B871D4"/>
    <w:rsid w:val="00B914EC"/>
    <w:rsid w:val="00B93DEF"/>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2B4"/>
    <w:rsid w:val="00CA20C5"/>
    <w:rsid w:val="00CB449D"/>
    <w:rsid w:val="00CB537E"/>
    <w:rsid w:val="00CC182A"/>
    <w:rsid w:val="00CC289B"/>
    <w:rsid w:val="00CC3A07"/>
    <w:rsid w:val="00CD118E"/>
    <w:rsid w:val="00CD18C0"/>
    <w:rsid w:val="00CD7F45"/>
    <w:rsid w:val="00CE5040"/>
    <w:rsid w:val="00CF2699"/>
    <w:rsid w:val="00CF5730"/>
    <w:rsid w:val="00D02E2F"/>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67ED0"/>
    <w:rsid w:val="00D76B6A"/>
    <w:rsid w:val="00D95AE9"/>
    <w:rsid w:val="00D97E07"/>
    <w:rsid w:val="00DA6BD0"/>
    <w:rsid w:val="00DB507E"/>
    <w:rsid w:val="00DC09A4"/>
    <w:rsid w:val="00DC5F8A"/>
    <w:rsid w:val="00DE18AA"/>
    <w:rsid w:val="00DE3426"/>
    <w:rsid w:val="00DF65D5"/>
    <w:rsid w:val="00E02270"/>
    <w:rsid w:val="00E037A5"/>
    <w:rsid w:val="00E403C9"/>
    <w:rsid w:val="00E435CD"/>
    <w:rsid w:val="00E47D10"/>
    <w:rsid w:val="00E50346"/>
    <w:rsid w:val="00E609BA"/>
    <w:rsid w:val="00E63522"/>
    <w:rsid w:val="00E63D33"/>
    <w:rsid w:val="00E64E1E"/>
    <w:rsid w:val="00E6655D"/>
    <w:rsid w:val="00E960D3"/>
    <w:rsid w:val="00EA0EB6"/>
    <w:rsid w:val="00EA13B8"/>
    <w:rsid w:val="00EA57C9"/>
    <w:rsid w:val="00EC0481"/>
    <w:rsid w:val="00ED0769"/>
    <w:rsid w:val="00ED457B"/>
    <w:rsid w:val="00EF51E1"/>
    <w:rsid w:val="00F05C26"/>
    <w:rsid w:val="00F146F1"/>
    <w:rsid w:val="00F20160"/>
    <w:rsid w:val="00F206F3"/>
    <w:rsid w:val="00F2363D"/>
    <w:rsid w:val="00F23794"/>
    <w:rsid w:val="00F26897"/>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1Text">
    <w:name w:val="VZT Table 1 Text"/>
    <w:basedOn w:val="Normal"/>
    <w:rsid w:val="00892A31"/>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AllExternalAdhocVariableMappings/>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SourceDataModel Name="System" TargetDataSourceId="00b80028-d226-4a39-9a19-6787589aad19"/>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ocPartTree/>
</file>

<file path=customXml/item19.xml><?xml version="1.0" encoding="utf-8"?>
<VariableListDefinition name="AD_HOC" displayName="AD_HOC" id="9426ea6f-1b24-4683-bca3-85d71f6375fd" isdomainofvalue="False" dataSourceId="80be7e5f-6e71-448c-9228-23264555308c"/>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AllMetadata/>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SourceDataModel Name="AD_HOC" TargetDataSourceId="80be7e5f-6e71-448c-9228-23264555308c"/>
</file>

<file path=customXml/item25.xml><?xml version="1.0" encoding="utf-8"?>
<AllWordPDs>
</AllWordPDs>
</file>

<file path=customXml/item26.xml><?xml version="1.0" encoding="utf-8"?>
<VariableListDefinition name="Computed" displayName="Computed" id="69155e26-4760-488b-ab4c-bb15b0f8b2a2" isdomainofvalue="False" dataSourceId="87651697-ca1f-4d80-9f69-bb743e325714"/>
</file>

<file path=customXml/item27.xml><?xml version="1.0" encoding="utf-8"?>
<VariableListDefinition name="System" displayName="System" id="dc9731b4-d0d2-4ed5-b20d-434d69de1706" isdomainofvalue="False" dataSourceId="00b80028-d226-4a39-9a19-6787589aad19"/>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UsageMapping/>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278</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53</cp:revision>
  <cp:lastPrinted>2015-12-22T16:01:00Z</cp:lastPrinted>
  <dcterms:created xsi:type="dcterms:W3CDTF">2020-07-09T14:45:00Z</dcterms:created>
  <dcterms:modified xsi:type="dcterms:W3CDTF">2020-10-27T14:51:00Z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