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597C025C"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5B4DAF" w:rsidRPr="005B4DAF">
        <w:rPr>
          <w:noProof/>
        </w:rPr>
        <w:t>2020 Advanced Accreditation Education Series - Strategies for Reducing Variation in Medication Management through Regulatory Alignment</w:t>
      </w:r>
    </w:p>
    <w:p w14:paraId="17877713" w14:textId="2173FC3E"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5B4DAF">
        <w:rPr>
          <w:rFonts w:ascii="Calibri" w:hAnsi="Calibri" w:cs="Calibri"/>
        </w:rPr>
        <w:t>March 23, 2020</w:t>
      </w:r>
    </w:p>
    <w:p w14:paraId="3185BDDC" w14:textId="77777777" w:rsidR="005B4DAF" w:rsidRDefault="005B4DAF" w:rsidP="008730EB">
      <w:pPr>
        <w:spacing w:line="276" w:lineRule="auto"/>
        <w:rPr>
          <w:rFonts w:ascii="Calibri" w:hAnsi="Calibri" w:cs="Calibri"/>
          <w:color w:val="696969"/>
          <w:szCs w:val="20"/>
        </w:rPr>
      </w:pPr>
      <w:r w:rsidRPr="005B4DAF">
        <w:rPr>
          <w:rFonts w:ascii="Calibri" w:hAnsi="Calibri" w:cs="Calibri"/>
          <w:color w:val="696969"/>
          <w:szCs w:val="20"/>
        </w:rPr>
        <w:t>Course director: Natalie Webb, MHA, RN, CPHQ</w:t>
      </w:r>
    </w:p>
    <w:p w14:paraId="697C1B37" w14:textId="77777777" w:rsidR="005B4DAF" w:rsidRDefault="005B4DAF" w:rsidP="008730EB">
      <w:pPr>
        <w:spacing w:line="276" w:lineRule="auto"/>
        <w:rPr>
          <w:rFonts w:ascii="Calibri" w:hAnsi="Calibri" w:cs="Calibri"/>
          <w:color w:val="696969"/>
          <w:szCs w:val="20"/>
        </w:rPr>
      </w:pPr>
    </w:p>
    <w:p w14:paraId="04254163" w14:textId="72D17B82"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5F5F258D"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5B4DAF">
        <w:rPr>
          <w:rFonts w:ascii="Calibri" w:hAnsi="Calibri" w:cs="Calibri"/>
          <w:color w:val="696969"/>
          <w:szCs w:val="20"/>
        </w:rPr>
        <w:t>May 7, 2020</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77777777"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6927BD">
      <w:pPr>
        <w:pStyle w:val="ListParagraph"/>
        <w:numPr>
          <w:ilvl w:val="0"/>
          <w:numId w:val="3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6927BD">
      <w:pPr>
        <w:pStyle w:val="ListParagraph"/>
        <w:numPr>
          <w:ilvl w:val="0"/>
          <w:numId w:val="3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02AC6B53" w14:textId="77777777" w:rsidR="005B4DAF" w:rsidRPr="005B4DAF" w:rsidRDefault="005B4DAF" w:rsidP="005B4DAF">
      <w:pPr>
        <w:pStyle w:val="ListParagraph"/>
        <w:numPr>
          <w:ilvl w:val="0"/>
          <w:numId w:val="49"/>
        </w:numPr>
        <w:rPr>
          <w:rFonts w:ascii="Calibri" w:eastAsia="Calibri" w:hAnsi="Calibri" w:cs="Calibri"/>
          <w:color w:val="595959" w:themeColor="text1" w:themeTint="A6"/>
          <w:szCs w:val="20"/>
        </w:rPr>
      </w:pPr>
      <w:r w:rsidRPr="005B4DAF">
        <w:rPr>
          <w:rFonts w:ascii="Calibri" w:eastAsia="Calibri" w:hAnsi="Calibri" w:cs="Calibri"/>
          <w:color w:val="595959" w:themeColor="text1" w:themeTint="A6"/>
          <w:szCs w:val="20"/>
        </w:rPr>
        <w:t>Identify the intent of medication management regulatory / accreditation requirements.</w:t>
      </w:r>
    </w:p>
    <w:p w14:paraId="2B9DF1C5" w14:textId="77777777" w:rsidR="005B4DAF" w:rsidRPr="005B4DAF" w:rsidRDefault="005B4DAF" w:rsidP="005B4DAF">
      <w:pPr>
        <w:pStyle w:val="ListParagraph"/>
        <w:numPr>
          <w:ilvl w:val="0"/>
          <w:numId w:val="49"/>
        </w:numPr>
        <w:rPr>
          <w:rFonts w:ascii="Calibri" w:eastAsia="Calibri" w:hAnsi="Calibri" w:cs="Calibri"/>
          <w:color w:val="595959" w:themeColor="text1" w:themeTint="A6"/>
          <w:szCs w:val="20"/>
        </w:rPr>
      </w:pPr>
      <w:r w:rsidRPr="005B4DAF">
        <w:rPr>
          <w:rFonts w:ascii="Calibri" w:eastAsia="Calibri" w:hAnsi="Calibri" w:cs="Calibri"/>
          <w:color w:val="595959" w:themeColor="text1" w:themeTint="A6"/>
          <w:szCs w:val="20"/>
        </w:rPr>
        <w:t>Summarize effectively an organization’s current process to medication management regulatory / accreditation requirements.</w:t>
      </w:r>
    </w:p>
    <w:p w14:paraId="6550E942" w14:textId="77777777" w:rsidR="005B4DAF" w:rsidRPr="005B4DAF" w:rsidRDefault="005B4DAF" w:rsidP="005B4DAF">
      <w:pPr>
        <w:pStyle w:val="ListParagraph"/>
        <w:numPr>
          <w:ilvl w:val="0"/>
          <w:numId w:val="49"/>
        </w:numPr>
        <w:rPr>
          <w:rFonts w:ascii="Calibri" w:eastAsia="Calibri" w:hAnsi="Calibri" w:cs="Calibri"/>
          <w:color w:val="595959" w:themeColor="text1" w:themeTint="A6"/>
          <w:szCs w:val="20"/>
        </w:rPr>
      </w:pPr>
      <w:r w:rsidRPr="005B4DAF">
        <w:rPr>
          <w:rFonts w:ascii="Calibri" w:eastAsia="Calibri" w:hAnsi="Calibri" w:cs="Calibri"/>
          <w:color w:val="595959" w:themeColor="text1" w:themeTint="A6"/>
          <w:szCs w:val="20"/>
        </w:rPr>
        <w:t>Describe a recommended strategy for successfully mitigating medication management variation.</w:t>
      </w:r>
    </w:p>
    <w:p w14:paraId="614CB3C7" w14:textId="6C117FE3" w:rsidR="00251281" w:rsidRPr="005B4DAF" w:rsidRDefault="005B4DAF" w:rsidP="005B4DAF">
      <w:pPr>
        <w:pStyle w:val="ListParagraph"/>
        <w:numPr>
          <w:ilvl w:val="0"/>
          <w:numId w:val="49"/>
        </w:numPr>
        <w:rPr>
          <w:rFonts w:ascii="Calibri" w:hAnsi="Calibri"/>
          <w:szCs w:val="20"/>
        </w:rPr>
      </w:pPr>
      <w:r w:rsidRPr="005B4DAF">
        <w:rPr>
          <w:rFonts w:ascii="Calibri" w:eastAsia="Calibri" w:hAnsi="Calibri" w:cs="Calibri"/>
          <w:color w:val="595959" w:themeColor="text1" w:themeTint="A6"/>
          <w:szCs w:val="20"/>
        </w:rPr>
        <w:t>Summarize the survey process for medication management accreditation/regulatory standards.</w:t>
      </w: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16594FF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program is designated for 1.50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1.80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DEE5B80" w14:textId="6844C56E"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designates this activity for a maximum of 1.</w:t>
      </w:r>
      <w:r w:rsidR="005B4DAF">
        <w:rPr>
          <w:rFonts w:ascii="Calibri" w:hAnsi="Calibri" w:cs="Arial"/>
          <w:color w:val="696969"/>
          <w:szCs w:val="20"/>
        </w:rPr>
        <w:t>50</w:t>
      </w:r>
      <w:r w:rsidRPr="00251281">
        <w:rPr>
          <w:rFonts w:ascii="Calibri" w:hAnsi="Calibri" w:cs="Arial"/>
          <w:color w:val="696969"/>
          <w:szCs w:val="20"/>
        </w:rPr>
        <w:t xml:space="preserve"> ACPE credit hours. </w:t>
      </w:r>
    </w:p>
    <w:p w14:paraId="4C391AED" w14:textId="4C99D48D"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Universal Activity Number: </w:t>
      </w:r>
      <w:r w:rsidR="00D90E66" w:rsidRPr="00D90E66">
        <w:rPr>
          <w:rFonts w:ascii="Calibri" w:hAnsi="Calibri" w:cs="Arial"/>
          <w:color w:val="696969"/>
          <w:szCs w:val="20"/>
        </w:rPr>
        <w:t>JA0006103-0000-20-059-L04-P</w:t>
      </w:r>
      <w:bookmarkStart w:id="0" w:name="_GoBack"/>
      <w:bookmarkEnd w:id="0"/>
    </w:p>
    <w:p w14:paraId="258DE858" w14:textId="77777777" w:rsidR="00C44922" w:rsidRPr="00C44922" w:rsidRDefault="00C44922" w:rsidP="00C44922">
      <w:pPr>
        <w:pStyle w:val="Heading3"/>
        <w:rPr>
          <w:rFonts w:ascii="Calibri" w:hAnsi="Calibri" w:cs="Arial"/>
          <w:bCs w:val="0"/>
          <w:color w:val="696969"/>
          <w:szCs w:val="20"/>
        </w:rPr>
      </w:pPr>
      <w:r w:rsidRPr="00C44922">
        <w:rPr>
          <w:rFonts w:ascii="Calibri" w:hAnsi="Calibri" w:cs="Arial"/>
          <w:bCs w:val="0"/>
          <w:color w:val="696969"/>
          <w:szCs w:val="20"/>
        </w:rPr>
        <w:t>NATIONAL ASSOCIATION FOR HEALTHCARE QUALITY</w:t>
      </w:r>
    </w:p>
    <w:p w14:paraId="50174DD6" w14:textId="46E404C9" w:rsidR="00C44922" w:rsidRPr="00C44922" w:rsidRDefault="00C44922" w:rsidP="00C44922">
      <w:pPr>
        <w:rPr>
          <w:rFonts w:ascii="Calibri" w:hAnsi="Calibri" w:cs="Arial"/>
          <w:color w:val="696969"/>
          <w:szCs w:val="20"/>
        </w:rPr>
      </w:pPr>
      <w:r w:rsidRPr="00C44922">
        <w:rPr>
          <w:rFonts w:ascii="Calibri" w:hAnsi="Calibri" w:cs="Arial"/>
          <w:color w:val="696969"/>
          <w:szCs w:val="20"/>
        </w:rPr>
        <w:t>This program has been approved by the National Association for Healthcare Quality for a maximum of</w:t>
      </w:r>
      <w:r w:rsidR="005B4DAF">
        <w:rPr>
          <w:rFonts w:ascii="Calibri" w:hAnsi="Calibri" w:cs="Arial"/>
          <w:color w:val="696969"/>
          <w:szCs w:val="20"/>
        </w:rPr>
        <w:t xml:space="preserve"> 1.50</w:t>
      </w:r>
      <w:r w:rsidRPr="00C44922">
        <w:rPr>
          <w:rFonts w:ascii="Calibri" w:hAnsi="Calibri" w:cs="Arial"/>
          <w:color w:val="696969"/>
          <w:szCs w:val="20"/>
        </w:rPr>
        <w:t xml:space="preserve"> CPHQ continuing education credits for this eve</w:t>
      </w:r>
      <w:r w:rsidR="0000774E">
        <w:rPr>
          <w:rFonts w:ascii="Calibri" w:hAnsi="Calibri" w:cs="Arial"/>
          <w:color w:val="696969"/>
          <w:szCs w:val="20"/>
        </w:rPr>
        <w:t>nt</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01E071EC" w:rsidR="004B0F88"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5B4DAF">
        <w:rPr>
          <w:rFonts w:ascii="Calibri" w:hAnsi="Calibri" w:cs="Calibri"/>
          <w:bCs/>
          <w:color w:val="696969"/>
          <w:szCs w:val="20"/>
        </w:rPr>
        <w:t>none of the planning committee member or presenters have anything to disclose.</w:t>
      </w:r>
    </w:p>
    <w:p w14:paraId="1A7F0FD4" w14:textId="178EE820" w:rsidR="005B4DAF" w:rsidRDefault="005B4DAF" w:rsidP="004B0F88">
      <w:pPr>
        <w:spacing w:before="120"/>
        <w:rPr>
          <w:rFonts w:ascii="Calibri" w:hAnsi="Calibri" w:cs="Calibri"/>
          <w:bCs/>
          <w:color w:val="696969"/>
          <w:szCs w:val="20"/>
        </w:rPr>
      </w:pPr>
    </w:p>
    <w:p w14:paraId="22FB5406" w14:textId="77777777" w:rsidR="005B4DAF" w:rsidRDefault="005B4DAF" w:rsidP="005B4DAF">
      <w:pPr>
        <w:spacing w:before="120"/>
        <w:rPr>
          <w:rFonts w:ascii="Calibri" w:hAnsi="Calibri" w:cs="Calibri"/>
          <w:color w:val="01ADAB"/>
          <w:szCs w:val="20"/>
        </w:rPr>
      </w:pPr>
      <w:r>
        <w:rPr>
          <w:rFonts w:ascii="Calibri" w:hAnsi="Calibri" w:cs="Calibri"/>
          <w:color w:val="01ADAB"/>
          <w:szCs w:val="20"/>
        </w:rPr>
        <w:t>Planning committee members</w:t>
      </w:r>
    </w:p>
    <w:p w14:paraId="1ED3285F"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Natalie Webb, MHA, RN, CPHQ</w:t>
      </w:r>
    </w:p>
    <w:p w14:paraId="25C09536"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Accreditation Director</w:t>
      </w:r>
    </w:p>
    <w:p w14:paraId="68290425"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Vizient</w:t>
      </w:r>
    </w:p>
    <w:p w14:paraId="0890DCE1" w14:textId="77777777" w:rsidR="005B4DAF" w:rsidRDefault="005B4DAF" w:rsidP="005B4DAF">
      <w:pPr>
        <w:spacing w:before="120"/>
        <w:contextualSpacing/>
        <w:rPr>
          <w:rFonts w:ascii="Calibri" w:hAnsi="Calibri" w:cs="Calibri"/>
          <w:snapToGrid w:val="0"/>
          <w:color w:val="696969"/>
          <w:szCs w:val="20"/>
        </w:rPr>
      </w:pPr>
    </w:p>
    <w:p w14:paraId="38766A9F"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Jodi Eisenberg, MHA, CPHQ, CPMSM</w:t>
      </w:r>
    </w:p>
    <w:p w14:paraId="31E52928"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Sr. Network Director</w:t>
      </w:r>
    </w:p>
    <w:p w14:paraId="3F68C3BD"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Vizient</w:t>
      </w:r>
    </w:p>
    <w:p w14:paraId="312A0C31" w14:textId="77777777" w:rsidR="005B4DAF" w:rsidRDefault="005B4DAF" w:rsidP="005B4DAF">
      <w:pPr>
        <w:spacing w:before="120"/>
        <w:contextualSpacing/>
        <w:rPr>
          <w:rFonts w:ascii="Calibri" w:hAnsi="Calibri" w:cs="Calibri"/>
          <w:snapToGrid w:val="0"/>
          <w:color w:val="696969"/>
          <w:szCs w:val="20"/>
        </w:rPr>
      </w:pPr>
    </w:p>
    <w:p w14:paraId="3522882C"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Diana Scott, MHA, RN, CPHQ</w:t>
      </w:r>
    </w:p>
    <w:p w14:paraId="08CEC7B2"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Sr. Director,</w:t>
      </w:r>
      <w:r>
        <w:rPr>
          <w:rFonts w:ascii="Calibri" w:hAnsi="Calibri" w:cs="Calibri"/>
          <w:b/>
          <w:snapToGrid w:val="0"/>
          <w:color w:val="696969"/>
          <w:szCs w:val="20"/>
        </w:rPr>
        <w:t xml:space="preserve"> </w:t>
      </w:r>
      <w:r>
        <w:rPr>
          <w:rFonts w:ascii="Calibri" w:hAnsi="Calibri" w:cs="Calibri"/>
          <w:snapToGrid w:val="0"/>
          <w:color w:val="696969"/>
          <w:szCs w:val="20"/>
        </w:rPr>
        <w:t>Advisory Accreditation</w:t>
      </w:r>
    </w:p>
    <w:p w14:paraId="7FCFA49E" w14:textId="77777777" w:rsidR="005B4DAF" w:rsidRDefault="005B4DAF" w:rsidP="005B4DAF">
      <w:pPr>
        <w:spacing w:before="120"/>
        <w:contextualSpacing/>
        <w:rPr>
          <w:rFonts w:ascii="Calibri" w:hAnsi="Calibri" w:cs="Calibri"/>
          <w:b/>
          <w:snapToGrid w:val="0"/>
          <w:color w:val="696969"/>
          <w:szCs w:val="20"/>
        </w:rPr>
      </w:pPr>
      <w:r>
        <w:rPr>
          <w:rFonts w:ascii="Calibri" w:hAnsi="Calibri" w:cs="Calibri"/>
          <w:snapToGrid w:val="0"/>
          <w:color w:val="696969"/>
          <w:szCs w:val="20"/>
        </w:rPr>
        <w:t>Vizient</w:t>
      </w:r>
    </w:p>
    <w:p w14:paraId="5BEB4100" w14:textId="77777777" w:rsidR="005B4DAF" w:rsidRDefault="005B4DAF" w:rsidP="005B4DAF">
      <w:pPr>
        <w:pStyle w:val="Heading3"/>
        <w:rPr>
          <w:rFonts w:ascii="Calibri" w:hAnsi="Calibri" w:cs="Calibri"/>
          <w:b w:val="0"/>
          <w:snapToGrid w:val="0"/>
          <w:color w:val="696969"/>
          <w:szCs w:val="20"/>
        </w:rPr>
      </w:pPr>
    </w:p>
    <w:p w14:paraId="6B2983B9"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Katrina Harper, PharD, MBA</w:t>
      </w:r>
    </w:p>
    <w:p w14:paraId="32AF5189"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Sr. Clinical Manager</w:t>
      </w:r>
    </w:p>
    <w:p w14:paraId="0AD7BC08"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Vizient</w:t>
      </w:r>
    </w:p>
    <w:p w14:paraId="1155286B" w14:textId="77777777" w:rsidR="005B4DAF" w:rsidRDefault="005B4DAF" w:rsidP="005B4DAF">
      <w:pPr>
        <w:pStyle w:val="Heading3"/>
        <w:rPr>
          <w:rFonts w:ascii="Calibri" w:hAnsi="Calibri" w:cs="Calibri"/>
          <w:bCs w:val="0"/>
          <w:snapToGrid w:val="0"/>
          <w:color w:val="696969"/>
          <w:szCs w:val="20"/>
        </w:rPr>
      </w:pPr>
    </w:p>
    <w:p w14:paraId="0AFC5C7A" w14:textId="77777777" w:rsidR="005B4DAF" w:rsidRDefault="005B4DAF" w:rsidP="005B4DAF">
      <w:pPr>
        <w:pStyle w:val="Heading3"/>
        <w:spacing w:before="0" w:after="120"/>
        <w:rPr>
          <w:rFonts w:ascii="Calibri" w:hAnsi="Calibri" w:cs="Calibri"/>
          <w:bCs w:val="0"/>
          <w:color w:val="01ADAB"/>
          <w:szCs w:val="20"/>
        </w:rPr>
      </w:pPr>
      <w:r>
        <w:rPr>
          <w:rFonts w:ascii="Calibri" w:hAnsi="Calibri" w:cs="Calibri"/>
          <w:b w:val="0"/>
          <w:bCs w:val="0"/>
          <w:color w:val="01ADAB"/>
          <w:szCs w:val="20"/>
        </w:rPr>
        <w:t>Course reviewer(s)</w:t>
      </w:r>
    </w:p>
    <w:p w14:paraId="0E74725D"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Natalie Webb, MHA, RN, CPHQ</w:t>
      </w:r>
    </w:p>
    <w:p w14:paraId="24541C8C"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Accreditation Director</w:t>
      </w:r>
    </w:p>
    <w:p w14:paraId="49D7FAA1"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Vizient</w:t>
      </w:r>
    </w:p>
    <w:p w14:paraId="7DB6CF2C" w14:textId="77777777" w:rsidR="005B4DAF" w:rsidRPr="00C62C43" w:rsidRDefault="005B4DAF" w:rsidP="005B4DAF">
      <w:pPr>
        <w:rPr>
          <w:rFonts w:ascii="Calibri" w:eastAsiaTheme="majorEastAsia" w:hAnsi="Calibri" w:cs="Calibri"/>
          <w:bCs/>
          <w:snapToGrid w:val="0"/>
          <w:color w:val="696969"/>
          <w:szCs w:val="20"/>
        </w:rPr>
      </w:pPr>
    </w:p>
    <w:p w14:paraId="6936BF45"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Katrina Harper, PharD, MBA</w:t>
      </w:r>
    </w:p>
    <w:p w14:paraId="7454B6AB"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Sr. Clinical Manager</w:t>
      </w:r>
    </w:p>
    <w:p w14:paraId="70F0C0F1"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Vizient</w:t>
      </w:r>
    </w:p>
    <w:p w14:paraId="5F26E372" w14:textId="77777777" w:rsidR="005B4DAF" w:rsidRDefault="005B4DAF" w:rsidP="005B4DAF"/>
    <w:p w14:paraId="71F07D07" w14:textId="77777777" w:rsidR="005B4DAF" w:rsidRDefault="005B4DAF" w:rsidP="005B4DAF">
      <w:pPr>
        <w:rPr>
          <w:rFonts w:ascii="Calibri" w:hAnsi="Calibri" w:cs="Calibri"/>
          <w:szCs w:val="20"/>
        </w:rPr>
      </w:pPr>
    </w:p>
    <w:p w14:paraId="31F975F9" w14:textId="77777777" w:rsidR="005B4DAF" w:rsidRDefault="005B4DAF" w:rsidP="005B4DAF">
      <w:pPr>
        <w:pStyle w:val="Heading3"/>
        <w:spacing w:before="0" w:after="120"/>
        <w:rPr>
          <w:rFonts w:ascii="Calibri" w:hAnsi="Calibri" w:cs="Calibri"/>
          <w:color w:val="01ADAB"/>
          <w:szCs w:val="20"/>
        </w:rPr>
      </w:pPr>
      <w:r>
        <w:rPr>
          <w:rFonts w:ascii="Calibri" w:hAnsi="Calibri" w:cs="Calibri"/>
          <w:b w:val="0"/>
          <w:bCs w:val="0"/>
          <w:color w:val="01ADAB"/>
          <w:szCs w:val="20"/>
        </w:rPr>
        <w:t>Presenters</w:t>
      </w:r>
    </w:p>
    <w:p w14:paraId="4A2F91D2" w14:textId="77777777" w:rsidR="005B4DAF" w:rsidRPr="005F34AA" w:rsidRDefault="005B4DAF" w:rsidP="005B4DAF">
      <w:pPr>
        <w:rPr>
          <w:rFonts w:ascii="Calibri" w:eastAsiaTheme="majorEastAsia" w:hAnsi="Calibri" w:cs="Calibri"/>
          <w:bCs/>
          <w:snapToGrid w:val="0"/>
          <w:color w:val="696969"/>
          <w:szCs w:val="20"/>
        </w:rPr>
      </w:pPr>
      <w:r w:rsidRPr="005F34AA">
        <w:rPr>
          <w:rFonts w:ascii="Calibri" w:eastAsiaTheme="majorEastAsia" w:hAnsi="Calibri" w:cs="Calibri"/>
          <w:bCs/>
          <w:snapToGrid w:val="0"/>
          <w:color w:val="696969"/>
          <w:szCs w:val="20"/>
        </w:rPr>
        <w:t>Mitchell Gesinger, MSN, RN, CJCP</w:t>
      </w:r>
    </w:p>
    <w:p w14:paraId="1DFA0041" w14:textId="77777777" w:rsidR="005B4DAF" w:rsidRPr="005F34AA" w:rsidRDefault="005B4DAF" w:rsidP="005B4DAF">
      <w:pPr>
        <w:rPr>
          <w:rFonts w:ascii="Calibri" w:eastAsiaTheme="majorEastAsia" w:hAnsi="Calibri" w:cs="Calibri"/>
          <w:bCs/>
          <w:snapToGrid w:val="0"/>
          <w:color w:val="696969"/>
          <w:szCs w:val="20"/>
        </w:rPr>
      </w:pPr>
      <w:r w:rsidRPr="005F34AA">
        <w:rPr>
          <w:rFonts w:ascii="Calibri" w:eastAsiaTheme="majorEastAsia" w:hAnsi="Calibri" w:cs="Calibri"/>
          <w:bCs/>
          <w:snapToGrid w:val="0"/>
          <w:color w:val="696969"/>
          <w:szCs w:val="20"/>
        </w:rPr>
        <w:t>Advisor, Accreditation</w:t>
      </w:r>
    </w:p>
    <w:p w14:paraId="1AE884B9" w14:textId="77777777" w:rsidR="005B4DAF" w:rsidRDefault="005B4DAF" w:rsidP="005B4DAF">
      <w:pPr>
        <w:rPr>
          <w:rFonts w:ascii="Calibri" w:hAnsi="Calibri"/>
          <w:szCs w:val="20"/>
        </w:rPr>
      </w:pPr>
      <w:r w:rsidRPr="005F34AA">
        <w:rPr>
          <w:rFonts w:ascii="Calibri" w:eastAsiaTheme="majorEastAsia" w:hAnsi="Calibri" w:cs="Calibri"/>
          <w:bCs/>
          <w:snapToGrid w:val="0"/>
          <w:color w:val="696969"/>
          <w:szCs w:val="20"/>
        </w:rPr>
        <w:t>Vizient, Inc.</w:t>
      </w:r>
    </w:p>
    <w:sectPr w:rsidR="005B4DAF"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EC9EF" w14:textId="77777777" w:rsidR="00041E07" w:rsidRDefault="00041E07" w:rsidP="00971D43">
      <w:r>
        <w:separator/>
      </w:r>
    </w:p>
  </w:endnote>
  <w:endnote w:type="continuationSeparator" w:id="0">
    <w:p w14:paraId="513E95E5" w14:textId="77777777" w:rsidR="00041E07" w:rsidRDefault="00041E0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23121" w14:textId="77777777" w:rsidR="00041E07" w:rsidRDefault="00041E07" w:rsidP="00971D43">
      <w:r>
        <w:separator/>
      </w:r>
    </w:p>
  </w:footnote>
  <w:footnote w:type="continuationSeparator" w:id="0">
    <w:p w14:paraId="4B5441B3" w14:textId="77777777" w:rsidR="00041E07" w:rsidRDefault="00041E07"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6637715"/>
    <w:multiLevelType w:val="hybridMultilevel"/>
    <w:tmpl w:val="8B523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5"/>
  </w:num>
  <w:num w:numId="4">
    <w:abstractNumId w:val="35"/>
  </w:num>
  <w:num w:numId="5">
    <w:abstractNumId w:val="32"/>
  </w:num>
  <w:num w:numId="6">
    <w:abstractNumId w:val="6"/>
  </w:num>
  <w:num w:numId="7">
    <w:abstractNumId w:val="27"/>
  </w:num>
  <w:num w:numId="8">
    <w:abstractNumId w:val="42"/>
  </w:num>
  <w:num w:numId="9">
    <w:abstractNumId w:val="39"/>
  </w:num>
  <w:num w:numId="10">
    <w:abstractNumId w:val="44"/>
  </w:num>
  <w:num w:numId="11">
    <w:abstractNumId w:val="15"/>
  </w:num>
  <w:num w:numId="12">
    <w:abstractNumId w:val="29"/>
  </w:num>
  <w:num w:numId="13">
    <w:abstractNumId w:val="18"/>
  </w:num>
  <w:num w:numId="14">
    <w:abstractNumId w:val="34"/>
  </w:num>
  <w:num w:numId="15">
    <w:abstractNumId w:val="21"/>
  </w:num>
  <w:num w:numId="16">
    <w:abstractNumId w:val="8"/>
  </w:num>
  <w:num w:numId="17">
    <w:abstractNumId w:val="16"/>
  </w:num>
  <w:num w:numId="18">
    <w:abstractNumId w:val="38"/>
  </w:num>
  <w:num w:numId="19">
    <w:abstractNumId w:val="41"/>
  </w:num>
  <w:num w:numId="20">
    <w:abstractNumId w:val="31"/>
  </w:num>
  <w:num w:numId="21">
    <w:abstractNumId w:val="12"/>
  </w:num>
  <w:num w:numId="22">
    <w:abstractNumId w:val="24"/>
  </w:num>
  <w:num w:numId="23">
    <w:abstractNumId w:val="14"/>
  </w:num>
  <w:num w:numId="24">
    <w:abstractNumId w:val="37"/>
  </w:num>
  <w:num w:numId="25">
    <w:abstractNumId w:val="5"/>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3"/>
  </w:num>
  <w:num w:numId="43">
    <w:abstractNumId w:val="17"/>
  </w:num>
  <w:num w:numId="44">
    <w:abstractNumId w:val="3"/>
  </w:num>
  <w:num w:numId="45">
    <w:abstractNumId w:val="2"/>
  </w:num>
  <w:num w:numId="46">
    <w:abstractNumId w:val="11"/>
  </w:num>
  <w:num w:numId="47">
    <w:abstractNumId w:val="25"/>
  </w:num>
  <w:num w:numId="48">
    <w:abstractNumId w:val="2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41E07"/>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B4DA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3ABB"/>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0E66"/>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iPriority w:val="9"/>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uiPriority w:val="9"/>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AllExternalAdhocVariableMappings/>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VariableUsageMapping/>
</file>

<file path=customXml/item17.xml><?xml version="1.0" encoding="utf-8"?>
<DocPartTree/>
</file>

<file path=customXml/item1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VariableListDefinition name="AD_HOC" displayName="AD_HOC" id="9426ea6f-1b24-4683-bca3-85d71f6375fd" isdomainofvalue="False" dataSourceId="80be7e5f-6e71-448c-9228-23264555308c"/>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AllMetadata/>
</file>

<file path=customXml/item22.xml><?xml version="1.0" encoding="utf-8"?>
<SourceDataModel Name="System" TargetDataSourceId="00b80028-d226-4a39-9a19-6787589aad19"/>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VariableListDefinition name="System" displayName="System" id="dc9731b4-d0d2-4ed5-b20d-434d69de1706" isdomainofvalue="False" dataSourceId="00b80028-d226-4a39-9a19-6787589aad19"/>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SourceDataModel Name="Computed" TargetDataSourceId="87651697-ca1f-4d80-9f69-bb743e325714"/>
</file>

<file path=customXml/item4.xml><?xml version="1.0" encoding="utf-8"?>
<SourceDataModel Name="AD_HOC" TargetDataSourceId="80be7e5f-6e71-448c-9228-23264555308c"/>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AllWordPDs>
</AllWordPDs>
</file>

<file path=customXml/item8.xml><?xml version="1.0" encoding="utf-8"?>
<VariableListDefinition name="Computed" displayName="Computed" id="69155e26-4760-488b-ab4c-bb15b0f8b2a2" isdomainofvalue="False" dataSourceId="87651697-ca1f-4d80-9f69-bb743e325714"/>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C4AEAB29-4929-45AF-A192-84C4D708764D}">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170914CF-6095-40AA-82F8-C9C0ED9DFDE0}">
  <ds:schemaRefs>
    <ds:schemaRef ds:uri="http://schemas.openxmlformats.org/officeDocument/2006/bibliography"/>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D44D0B5A-EC6D-4AEA-A833-02344E0C6DB2}">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36</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9</cp:revision>
  <cp:lastPrinted>2015-12-22T16:01:00Z</cp:lastPrinted>
  <dcterms:created xsi:type="dcterms:W3CDTF">2019-08-20T14:38:00Z</dcterms:created>
  <dcterms:modified xsi:type="dcterms:W3CDTF">2020-03-11T20:08:00Z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