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4D45" w14:textId="77777777" w:rsidR="00D50976" w:rsidRPr="00EC14B3" w:rsidRDefault="00D50976" w:rsidP="00EC14B3">
      <w:pPr>
        <w:pStyle w:val="Headline2"/>
      </w:pPr>
      <w:r w:rsidRPr="00EC14B3">
        <w:t>Instructions for obtaining continuing education (CE) credit</w:t>
      </w:r>
    </w:p>
    <w:p w14:paraId="76D12050" w14:textId="45737CAA" w:rsidR="00D50976" w:rsidRPr="006A6544" w:rsidRDefault="002B6FE3" w:rsidP="00D50976">
      <w:pPr>
        <w:pStyle w:val="Mainheading"/>
        <w:spacing w:after="0"/>
        <w:rPr>
          <w:color w:val="FFBF2D"/>
          <w:sz w:val="14"/>
          <w:szCs w:val="14"/>
        </w:rPr>
      </w:pPr>
      <w:r w:rsidRPr="00500F6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25AF3" wp14:editId="365F63B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72200" cy="54610"/>
                <wp:effectExtent l="0" t="0" r="0" b="2540"/>
                <wp:wrapThrough wrapText="bothSides">
                  <wp:wrapPolygon edited="0">
                    <wp:start x="0" y="0"/>
                    <wp:lineTo x="0" y="15070"/>
                    <wp:lineTo x="21533" y="15070"/>
                    <wp:lineTo x="2153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AC5EA" id="Group 11" o:spid="_x0000_s1026" style="position:absolute;margin-left:0;margin-top:9.45pt;width:486pt;height:4.3pt;z-index:251659264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4PpHY90AAAAGAQAADwAAAGRy&#10;cy9kb3ducmV2LnhtbEyPQUvDQBCF74L/YRnBm90kUtvGbEop6qkItoJ4mybTJDQ7G7LbJP33jic9&#10;vveG977J1pNt1UC9bxwbiGcRKOLClQ1XBj4Prw9LUD4gl9g6JgNX8rDOb28yTEs38gcN+1ApKWGf&#10;ooE6hC7V2hc1WfQz1xFLdnK9xSCyr3TZ4yjlttVJFD1piw3LQo0dbWsqzvuLNfA24rh5jF+G3fm0&#10;vX4f5u9fu5iMub+bNs+gAk3h7xh+8QUdcmE6uguXXrUG5JEg7nIFStLVIhHjaCBZzEHnmf6Pn/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4PpHY9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" strokecolor="#ff8427 [3207]" strokeweight="4pt">
                  <v:stroke joinstyle="miter"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" fillcolor="#ff4e00" stroked="f" strokeweight=".5pt">
                  <v:stroke joinstyle="miter"/>
                </v:oval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" fillcolor="#ff4e00" stroked="f" strokeweight=".5pt">
                  <v:stroke joinstyle="miter"/>
                </v:oval>
                <w10:wrap type="through"/>
              </v:group>
            </w:pict>
          </mc:Fallback>
        </mc:AlternateContent>
      </w:r>
    </w:p>
    <w:p w14:paraId="4FD18B82" w14:textId="00A5D6ED" w:rsidR="00D50976" w:rsidRDefault="000408A7" w:rsidP="008B1CED">
      <w:pPr>
        <w:pStyle w:val="Heading"/>
      </w:pPr>
      <w:r>
        <w:t>Concomitant Diabetes and Heart Disease? Have no Fear! A Comparative Review of GLP-1 Agonists vs. SGLT2 inhibitors in Cardiovascular Benefits</w:t>
      </w:r>
    </w:p>
    <w:p w14:paraId="34E1CA2D" w14:textId="75F07FEE" w:rsidR="00D50976" w:rsidRDefault="00460EBE" w:rsidP="00EC14B3">
      <w:pPr>
        <w:pStyle w:val="BodyText1"/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Activity date: April 2</w:t>
      </w:r>
      <w:r w:rsidR="000408A7">
        <w:rPr>
          <w:color w:val="595959" w:themeColor="text1" w:themeTint="A6"/>
        </w:rPr>
        <w:t>9</w:t>
      </w:r>
      <w:r w:rsidR="00EF5E51">
        <w:rPr>
          <w:color w:val="595959" w:themeColor="text1" w:themeTint="A6"/>
        </w:rPr>
        <w:t>, 2020</w:t>
      </w:r>
    </w:p>
    <w:p w14:paraId="5515F2EB" w14:textId="77777777" w:rsidR="00EC14B3" w:rsidRPr="00145C63" w:rsidRDefault="00EC14B3" w:rsidP="00EC14B3">
      <w:pPr>
        <w:pStyle w:val="BodyText1"/>
        <w:spacing w:after="0"/>
        <w:rPr>
          <w:color w:val="595959" w:themeColor="text1" w:themeTint="A6"/>
        </w:rPr>
      </w:pPr>
    </w:p>
    <w:p w14:paraId="461501A7" w14:textId="43D053E9" w:rsidR="00EC14B3" w:rsidRPr="00955A6A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We appreciate your participation and value your feedback!  These instructions are for those </w:t>
      </w:r>
      <w:r w:rsidR="00D607EB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seeking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continuing education credit.</w:t>
      </w:r>
      <w:r w:rsidR="008B2E34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21249" w:rsidRPr="00EC14B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You will need to use Chrome as opposed to Internet Explorer when obtaining credit for this course. 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Please note: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CE credit will not be provided for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viewing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 recording of this course.</w:t>
      </w:r>
    </w:p>
    <w:p w14:paraId="2EED4D2B" w14:textId="77777777" w:rsidR="00EC14B3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0B63ADE" w14:textId="77777777" w:rsidR="004F0F2B" w:rsidRPr="00DD111D" w:rsidRDefault="004F0F2B" w:rsidP="004F0F2B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A Vizient login account is required to claim credit.  </w:t>
      </w:r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If you need to obtain a Vizient login account or if you have forgotten your Vizient login information, please contact Vizient Support at </w:t>
      </w:r>
      <w:hyperlink r:id="rId7" w:history="1">
        <w:r w:rsidRPr="00DD111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VizientSupport@Vizientinc.com</w:t>
        </w:r>
      </w:hyperlink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 or (800) 842-5146.</w:t>
      </w:r>
    </w:p>
    <w:p w14:paraId="49FD4518" w14:textId="627C342D" w:rsidR="00DB20EF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To complete your continuing education evaluations and receive credit, </w:t>
      </w:r>
      <w:hyperlink r:id="rId8" w:anchor="group-tabs-node-course-default4" w:history="1">
        <w:r w:rsidR="00EA6DA0" w:rsidRPr="005512D2">
          <w:rPr>
            <w:rStyle w:val="Hyperlink"/>
            <w:rFonts w:ascii="Arial" w:hAnsi="Arial" w:cs="Arial"/>
            <w:b/>
            <w:color w:val="E84C22" w:themeColor="accent1"/>
            <w:sz w:val="20"/>
            <w:szCs w:val="20"/>
          </w:rPr>
          <w:t>click here</w:t>
        </w:r>
      </w:hyperlink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and follow the steps below. </w:t>
      </w:r>
      <w:r w:rsidR="00EA6DA0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You may be asked to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update your profile during the process.</w:t>
      </w:r>
      <w:r w:rsidR="00E6116D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CB0B74" w:rsidRPr="00D50976">
        <w:rPr>
          <w:rFonts w:ascii="Arial" w:hAnsi="Arial" w:cs="Arial"/>
          <w:color w:val="595959" w:themeColor="text1" w:themeTint="A6"/>
          <w:sz w:val="20"/>
          <w:szCs w:val="20"/>
        </w:rPr>
        <w:t>It is important that you select your Discipline type in your user profile.</w:t>
      </w:r>
    </w:p>
    <w:p w14:paraId="3834E695" w14:textId="77777777" w:rsidR="009F64E6" w:rsidRDefault="009F64E6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A2BBD2F" w14:textId="77777777" w:rsidR="009F64E6" w:rsidRPr="00D50976" w:rsidRDefault="009F64E6" w:rsidP="009F64E6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If the above hyperlink is not functional, please copy an</w:t>
      </w:r>
      <w:bookmarkStart w:id="0" w:name="_GoBack"/>
      <w:bookmarkEnd w:id="0"/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d paste this link into your browser: </w:t>
      </w:r>
    </w:p>
    <w:p w14:paraId="7B05A91C" w14:textId="49AD44CA" w:rsidR="009F64E6" w:rsidRPr="005512D2" w:rsidRDefault="005512D2" w:rsidP="009F64E6">
      <w:pPr>
        <w:spacing w:after="0" w:line="240" w:lineRule="auto"/>
        <w:rPr>
          <w:rStyle w:val="Hyperlink"/>
          <w:rFonts w:ascii="Arial" w:hAnsi="Arial" w:cs="Arial"/>
          <w:b/>
          <w:color w:val="E84C22" w:themeColor="accent1"/>
          <w:sz w:val="20"/>
          <w:szCs w:val="20"/>
        </w:rPr>
      </w:pPr>
      <w:hyperlink r:id="rId9" w:anchor="group-tabs-node-course-default4" w:history="1">
        <w:r w:rsidRPr="005512D2">
          <w:rPr>
            <w:rStyle w:val="Hyperlink"/>
            <w:color w:val="E84C22" w:themeColor="accent1"/>
          </w:rPr>
          <w:t>https://continuingeducation.vizientinc.com/content/concomitant-diabetes-and-heart-disease-have-no-fear-comparative-review-glp-1-agonists-vs#group-tabs-node-course-default4</w:t>
        </w:r>
      </w:hyperlink>
    </w:p>
    <w:p w14:paraId="23358CE3" w14:textId="77777777" w:rsidR="009F64E6" w:rsidRDefault="009F64E6" w:rsidP="009F64E6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14:paraId="6E52A7F3" w14:textId="77777777" w:rsidR="00CE4FAB" w:rsidRDefault="00CE4FAB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1361CD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An important note for pharmacists and pharmacy technicians</w:t>
      </w:r>
      <w:r w:rsidRPr="001361CD">
        <w:rPr>
          <w:rFonts w:ascii="Arial" w:hAnsi="Arial" w:cs="Arial"/>
          <w:i/>
          <w:color w:val="595959" w:themeColor="text1" w:themeTint="A6"/>
          <w:sz w:val="20"/>
          <w:szCs w:val="20"/>
        </w:rPr>
        <w:t>: please ensure that your Discipline type, NABP ID and birthdate are listed correctly in your profile.  Pharmacy credit is uploaded to CPE Monitor based on this information</w:t>
      </w:r>
    </w:p>
    <w:p w14:paraId="7401FDCD" w14:textId="77777777" w:rsidR="00EC14B3" w:rsidRPr="00D50976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495369B" w14:textId="77777777" w:rsidR="00271DF3" w:rsidRPr="008B2E34" w:rsidRDefault="00271DF3" w:rsidP="002F45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You will be on the course landing page – from here you can review the tabs for the course:</w:t>
      </w:r>
    </w:p>
    <w:p w14:paraId="4B5CBD03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Overview</w:t>
      </w:r>
    </w:p>
    <w:p w14:paraId="3FCBFAB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Venue</w:t>
      </w:r>
    </w:p>
    <w:p w14:paraId="0F5E74DC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Faculty</w:t>
      </w:r>
    </w:p>
    <w:p w14:paraId="35B5D3BF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Accreditation</w:t>
      </w:r>
    </w:p>
    <w:p w14:paraId="1B89063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Obtain Credit</w:t>
      </w:r>
    </w:p>
    <w:p w14:paraId="72C0AF9E" w14:textId="17F6B4B3" w:rsidR="00271DF3" w:rsidRPr="008B2E34" w:rsidRDefault="00271DF3" w:rsidP="00464F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“Obtain Credit” tab.  You will see a field titled “Access Code”</w:t>
      </w:r>
      <w:r w:rsidR="00FB5A1F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– enter </w:t>
      </w:r>
      <w:proofErr w:type="spellStart"/>
      <w:r w:rsidR="000408A7">
        <w:rPr>
          <w:rFonts w:ascii="Arial" w:hAnsi="Arial" w:cs="Arial"/>
          <w:b/>
          <w:color w:val="595959" w:themeColor="text1" w:themeTint="A6"/>
        </w:rPr>
        <w:t>JmZNmR</w:t>
      </w:r>
      <w:proofErr w:type="spellEnd"/>
      <w:r w:rsidR="00FB5A1F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9E2F04" w:rsidRPr="008B2E34">
        <w:rPr>
          <w:rFonts w:ascii="Arial" w:hAnsi="Arial" w:cs="Arial"/>
          <w:color w:val="595959" w:themeColor="text1" w:themeTint="A6"/>
          <w:sz w:val="20"/>
          <w:szCs w:val="20"/>
        </w:rPr>
        <w:t>(</w:t>
      </w:r>
      <w:r w:rsidR="003C7EB5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code </w:t>
      </w:r>
      <w:r w:rsidR="00467C13" w:rsidRPr="008B2E34">
        <w:rPr>
          <w:rFonts w:ascii="Arial" w:hAnsi="Arial" w:cs="Arial"/>
          <w:color w:val="595959" w:themeColor="text1" w:themeTint="A6"/>
          <w:sz w:val="20"/>
          <w:szCs w:val="20"/>
        </w:rPr>
        <w:t>is</w:t>
      </w:r>
      <w:r w:rsidR="003C7EB5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E2F04" w:rsidRPr="008B2E34">
        <w:rPr>
          <w:rFonts w:ascii="Arial" w:hAnsi="Arial" w:cs="Arial"/>
          <w:color w:val="595959" w:themeColor="text1" w:themeTint="A6"/>
          <w:sz w:val="20"/>
          <w:szCs w:val="20"/>
        </w:rPr>
        <w:t>case sensitive)</w:t>
      </w:r>
      <w:r w:rsidR="009E2F04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B5A1F" w:rsidRPr="008B2E34">
        <w:rPr>
          <w:rFonts w:ascii="Arial" w:hAnsi="Arial" w:cs="Arial"/>
          <w:color w:val="595959" w:themeColor="text1" w:themeTint="A6"/>
          <w:sz w:val="20"/>
          <w:szCs w:val="20"/>
        </w:rPr>
        <w:t>and</w:t>
      </w:r>
      <w:r w:rsidR="00FB5A1F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A6DA0" w:rsidRPr="008B2E34">
        <w:rPr>
          <w:rFonts w:ascii="Arial" w:hAnsi="Arial" w:cs="Arial"/>
          <w:color w:val="595959" w:themeColor="text1" w:themeTint="A6"/>
          <w:sz w:val="20"/>
          <w:szCs w:val="20"/>
        </w:rPr>
        <w:t>choose “U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nlock”</w:t>
      </w:r>
    </w:p>
    <w:p w14:paraId="651E245A" w14:textId="77777777" w:rsidR="00271DF3" w:rsidRPr="008B2E34" w:rsidRDefault="008F135E" w:rsidP="00641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Cho</w:t>
      </w:r>
      <w:r w:rsidR="00C753F8" w:rsidRPr="008B2E34">
        <w:rPr>
          <w:rFonts w:ascii="Arial" w:hAnsi="Arial" w:cs="Arial"/>
          <w:color w:val="595959" w:themeColor="text1" w:themeTint="A6"/>
          <w:sz w:val="20"/>
          <w:szCs w:val="20"/>
        </w:rPr>
        <w:t>o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 the “Obtain C</w:t>
      </w:r>
      <w:r w:rsidR="00271DF3" w:rsidRPr="008B2E34">
        <w:rPr>
          <w:rFonts w:ascii="Arial" w:hAnsi="Arial" w:cs="Arial"/>
          <w:color w:val="595959" w:themeColor="text1" w:themeTint="A6"/>
          <w:sz w:val="20"/>
          <w:szCs w:val="20"/>
        </w:rPr>
        <w:t>redit” tab</w:t>
      </w:r>
    </w:p>
    <w:p w14:paraId="50657686" w14:textId="70CA8899" w:rsidR="00271DF3" w:rsidRPr="0062064D" w:rsidRDefault="00271DF3" w:rsidP="00641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Follow the instructions below.  You must complete this process no later than </w:t>
      </w:r>
      <w:r w:rsidR="000408A7">
        <w:rPr>
          <w:rFonts w:ascii="Arial" w:hAnsi="Arial" w:cs="Arial"/>
          <w:b/>
          <w:color w:val="595959" w:themeColor="text1" w:themeTint="A6"/>
          <w:sz w:val="20"/>
          <w:szCs w:val="20"/>
        </w:rPr>
        <w:t>June 14</w:t>
      </w:r>
      <w:r w:rsidR="00EF5E51">
        <w:rPr>
          <w:rFonts w:ascii="Arial" w:hAnsi="Arial" w:cs="Arial"/>
          <w:b/>
          <w:color w:val="595959" w:themeColor="text1" w:themeTint="A6"/>
          <w:sz w:val="20"/>
          <w:szCs w:val="20"/>
        </w:rPr>
        <w:t>, 2020</w:t>
      </w:r>
    </w:p>
    <w:p w14:paraId="5F80C6BF" w14:textId="77777777" w:rsid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5585F2" w14:textId="77777777" w:rsidR="0062064D" w:rsidRPr="00FF1C05" w:rsidRDefault="0062064D" w:rsidP="0062064D">
      <w:pPr>
        <w:spacing w:after="0"/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FF1C05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6E0078B7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 on the “Log in” link at the top right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23240296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You will not see an “Obtain credit” tab; you will be taken directly to the “Access code” field.</w:t>
      </w:r>
    </w:p>
    <w:p w14:paraId="378402F1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5E71B835" w14:textId="77777777" w:rsidR="0062064D" w:rsidRP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BB4AF3B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2100A1">
        <w:rPr>
          <w:rFonts w:ascii="Arial" w:hAnsi="Arial" w:cs="Arial"/>
          <w:color w:val="595959" w:themeColor="text1" w:themeTint="A6"/>
          <w:sz w:val="20"/>
          <w:szCs w:val="20"/>
        </w:rPr>
        <w:t>EVALUATION INSTRUCTIONS:</w:t>
      </w:r>
    </w:p>
    <w:p w14:paraId="6DB34C70" w14:textId="55C4A7DB" w:rsidR="00616F13" w:rsidRPr="00616F13" w:rsidRDefault="00271DF3" w:rsidP="000408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Under course progress, </w:t>
      </w:r>
      <w:r w:rsidR="00B54436">
        <w:rPr>
          <w:rFonts w:ascii="Arial" w:hAnsi="Arial" w:cs="Arial"/>
          <w:color w:val="595959" w:themeColor="text1" w:themeTint="A6"/>
          <w:sz w:val="20"/>
          <w:szCs w:val="20"/>
        </w:rPr>
        <w:t xml:space="preserve">click on the evaluation titled </w:t>
      </w:r>
      <w:r w:rsidR="008428B5">
        <w:rPr>
          <w:rFonts w:ascii="Arial" w:hAnsi="Arial" w:cs="Arial"/>
          <w:b/>
          <w:color w:val="595959" w:themeColor="text1" w:themeTint="A6"/>
          <w:sz w:val="20"/>
          <w:szCs w:val="20"/>
        </w:rPr>
        <w:t>4/</w:t>
      </w:r>
      <w:r w:rsidR="000408A7">
        <w:rPr>
          <w:rFonts w:ascii="Arial" w:hAnsi="Arial" w:cs="Arial"/>
          <w:b/>
          <w:color w:val="595959" w:themeColor="text1" w:themeTint="A6"/>
          <w:sz w:val="20"/>
          <w:szCs w:val="20"/>
        </w:rPr>
        <w:t>29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/2020 – Evaluation </w:t>
      </w:r>
      <w:r w:rsidR="00616F13">
        <w:rPr>
          <w:rFonts w:ascii="Arial" w:hAnsi="Arial" w:cs="Arial"/>
          <w:b/>
          <w:color w:val="595959" w:themeColor="text1" w:themeTint="A6"/>
          <w:sz w:val="20"/>
          <w:szCs w:val="20"/>
        </w:rPr>
        <w:t>–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0408A7" w:rsidRPr="000408A7">
        <w:rPr>
          <w:rFonts w:ascii="Arial" w:hAnsi="Arial" w:cs="Arial"/>
          <w:b/>
          <w:color w:val="595959" w:themeColor="text1" w:themeTint="A6"/>
          <w:sz w:val="20"/>
          <w:szCs w:val="20"/>
        </w:rPr>
        <w:t>Concomitant Diabetes and Heart Disease? Have no Fear!</w:t>
      </w:r>
    </w:p>
    <w:p w14:paraId="12885502" w14:textId="77777777" w:rsidR="00271DF3" w:rsidRPr="00616F13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You must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 “S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ubmit” to save your answers.  If you do not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“Submit</w:t>
      </w:r>
      <w:r w:rsidR="008F135E" w:rsidRPr="00616F13">
        <w:rPr>
          <w:rFonts w:ascii="Arial" w:hAnsi="Arial" w:cs="Arial"/>
          <w:color w:val="595959" w:themeColor="text1" w:themeTint="A6"/>
          <w:sz w:val="20"/>
          <w:szCs w:val="20"/>
        </w:rPr>
        <w:t>,”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data will be lost for that evaluation</w:t>
      </w:r>
    </w:p>
    <w:p w14:paraId="1331EBFF" w14:textId="77777777" w:rsidR="008B2E34" w:rsidRDefault="008B2E34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D3746F0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CREDIT INSTRUCTIONS:</w:t>
      </w:r>
    </w:p>
    <w:p w14:paraId="4CA952F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Under course progress, choose “Credit” and select “Start”</w:t>
      </w:r>
    </w:p>
    <w:p w14:paraId="16E05EE4" w14:textId="690D5B9E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Claim your type of credit –</w:t>
      </w:r>
      <w:r w:rsidR="00EF5E5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ACPE </w:t>
      </w:r>
      <w:r w:rsidR="001B60C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Pharmacy 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>(p</w:t>
      </w:r>
      <w:r w:rsidR="00464F67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>harma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>cist</w:t>
      </w:r>
      <w:r w:rsidR="001B60CF">
        <w:rPr>
          <w:rFonts w:ascii="Arial" w:hAnsi="Arial" w:cs="Arial"/>
          <w:b/>
          <w:color w:val="595959" w:themeColor="text1" w:themeTint="A6"/>
          <w:sz w:val="20"/>
          <w:szCs w:val="20"/>
        </w:rPr>
        <w:t>)</w:t>
      </w:r>
      <w:r w:rsidR="000408A7">
        <w:rPr>
          <w:rFonts w:ascii="Arial" w:hAnsi="Arial" w:cs="Arial"/>
          <w:b/>
          <w:color w:val="595959" w:themeColor="text1" w:themeTint="A6"/>
          <w:sz w:val="20"/>
          <w:szCs w:val="20"/>
        </w:rPr>
        <w:t>, ACPE Technician (pharmacy technician) or G</w:t>
      </w:r>
      <w:r w:rsidR="002F4520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>eneral CEU</w:t>
      </w:r>
    </w:p>
    <w:p w14:paraId="38A51B28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In the credits field, enter the amount of credit to claim.  </w:t>
      </w:r>
    </w:p>
    <w:p w14:paraId="310FAE91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the box “I agree that I am only claiming credit commensurate with the extent of my participation in the activity”</w:t>
      </w:r>
    </w:p>
    <w:p w14:paraId="41A8ACC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Review your credit amount and </w:t>
      </w:r>
      <w:r w:rsidR="00EA6DA0" w:rsidRPr="008B2E34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submit</w:t>
      </w:r>
    </w:p>
    <w:p w14:paraId="7EF8CEF7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A28CBEC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CERTIFICATE INSTRUCTIONS:</w:t>
      </w:r>
    </w:p>
    <w:p w14:paraId="7A23EFAD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Select the “Certificate” tab and choose “Start”</w:t>
      </w:r>
    </w:p>
    <w:p w14:paraId="4FAEC2F9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the link “download certificate”</w:t>
      </w:r>
    </w:p>
    <w:p w14:paraId="7E7A9F7F" w14:textId="77777777" w:rsidR="007E0BA0" w:rsidRPr="008B2E34" w:rsidRDefault="007E0BA0" w:rsidP="007E0BA0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145D18F" w14:textId="77777777" w:rsidR="007E0BA0" w:rsidRPr="008B2E34" w:rsidRDefault="007E0BA0" w:rsidP="00626A6C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ACCOUNT MANAGEMENT</w:t>
      </w:r>
    </w:p>
    <w:p w14:paraId="2E852FB2" w14:textId="77777777" w:rsidR="00271DF3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My Account to view your transcript, view your courses or to edit your profile</w:t>
      </w:r>
    </w:p>
    <w:p w14:paraId="468383D9" w14:textId="77777777" w:rsidR="007E0BA0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It is recommended that you </w:t>
      </w:r>
      <w:r w:rsidR="00467C13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bookmark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your My Account link for </w:t>
      </w:r>
      <w:r w:rsidR="003C7EB5" w:rsidRPr="008B2E34">
        <w:rPr>
          <w:rFonts w:ascii="Arial" w:hAnsi="Arial" w:cs="Arial"/>
          <w:color w:val="595959" w:themeColor="text1" w:themeTint="A6"/>
          <w:sz w:val="20"/>
          <w:szCs w:val="20"/>
        </w:rPr>
        <w:t>easy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access</w:t>
      </w:r>
    </w:p>
    <w:p w14:paraId="3E6600E9" w14:textId="77777777" w:rsidR="007E0BA0" w:rsidRPr="008B2E34" w:rsidRDefault="007E0BA0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3DC5C1" w14:textId="77777777" w:rsidR="00872732" w:rsidRPr="008B2E34" w:rsidRDefault="00872732" w:rsidP="0062064D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ED87885" w14:textId="77777777" w:rsidR="00DC2E96" w:rsidRDefault="00271DF3" w:rsidP="0062064D">
      <w:pPr>
        <w:spacing w:after="0"/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If you have any other questions or need assistance completing the continuing education evaluations, </w:t>
      </w:r>
      <w:r w:rsidR="000B624F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please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send an e-mail to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10" w:history="1">
        <w:r w:rsidRPr="00AE6431">
          <w:rPr>
            <w:rStyle w:val="Hyperlink"/>
            <w:rFonts w:ascii="Arial" w:hAnsi="Arial" w:cs="Arial"/>
            <w:color w:val="DC5E00" w:themeColor="accent4" w:themeShade="BF"/>
            <w:sz w:val="20"/>
            <w:szCs w:val="20"/>
          </w:rPr>
          <w:t>continuingeducation@vizientinc.com</w:t>
        </w:r>
      </w:hyperlink>
      <w:r w:rsidRPr="00AE6431">
        <w:rPr>
          <w:rFonts w:ascii="Arial" w:hAnsi="Arial" w:cs="Arial"/>
          <w:color w:val="DC5E00" w:themeColor="accent4" w:themeShade="BF"/>
          <w:sz w:val="20"/>
          <w:szCs w:val="20"/>
        </w:rPr>
        <w:t>.</w:t>
      </w:r>
    </w:p>
    <w:sectPr w:rsidR="00DC2E96" w:rsidSect="00AE6B2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F8B6" w14:textId="77777777" w:rsidR="007834FD" w:rsidRDefault="007834FD">
      <w:pPr>
        <w:spacing w:after="0" w:line="240" w:lineRule="auto"/>
      </w:pPr>
      <w:r>
        <w:separator/>
      </w:r>
    </w:p>
  </w:endnote>
  <w:endnote w:type="continuationSeparator" w:id="0">
    <w:p w14:paraId="001C1F36" w14:textId="77777777" w:rsidR="007834FD" w:rsidRDefault="0078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E935" w14:textId="77777777" w:rsidR="007834FD" w:rsidRDefault="007834FD">
      <w:pPr>
        <w:spacing w:after="0" w:line="240" w:lineRule="auto"/>
      </w:pPr>
      <w:r>
        <w:separator/>
      </w:r>
    </w:p>
  </w:footnote>
  <w:footnote w:type="continuationSeparator" w:id="0">
    <w:p w14:paraId="4C4CBAFB" w14:textId="77777777" w:rsidR="007834FD" w:rsidRDefault="0078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1490" w14:textId="77777777" w:rsidR="00D50976" w:rsidRDefault="00D50976" w:rsidP="00D50976">
    <w:pPr>
      <w:pStyle w:val="Header"/>
      <w:jc w:val="right"/>
    </w:pPr>
    <w:r>
      <w:rPr>
        <w:noProof/>
      </w:rPr>
      <w:drawing>
        <wp:inline distT="0" distB="0" distL="0" distR="0" wp14:anchorId="17326CA5" wp14:editId="047EA78C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CDD29" w14:textId="77777777"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3"/>
    <w:rsid w:val="000408A7"/>
    <w:rsid w:val="00075574"/>
    <w:rsid w:val="000B624F"/>
    <w:rsid w:val="00100BBE"/>
    <w:rsid w:val="001B60CF"/>
    <w:rsid w:val="002100A1"/>
    <w:rsid w:val="00271DF3"/>
    <w:rsid w:val="002B6FE3"/>
    <w:rsid w:val="002D18CF"/>
    <w:rsid w:val="002F4520"/>
    <w:rsid w:val="0034092A"/>
    <w:rsid w:val="0039199C"/>
    <w:rsid w:val="003C7EB5"/>
    <w:rsid w:val="00421249"/>
    <w:rsid w:val="00460EBE"/>
    <w:rsid w:val="00464F67"/>
    <w:rsid w:val="00467C13"/>
    <w:rsid w:val="004F0F2B"/>
    <w:rsid w:val="005512D2"/>
    <w:rsid w:val="005A46A6"/>
    <w:rsid w:val="00616F13"/>
    <w:rsid w:val="0062064D"/>
    <w:rsid w:val="00626A6C"/>
    <w:rsid w:val="0063699A"/>
    <w:rsid w:val="00641200"/>
    <w:rsid w:val="0067613C"/>
    <w:rsid w:val="007027AD"/>
    <w:rsid w:val="007324A4"/>
    <w:rsid w:val="007834FD"/>
    <w:rsid w:val="007E0BA0"/>
    <w:rsid w:val="008428B5"/>
    <w:rsid w:val="00872732"/>
    <w:rsid w:val="008B1CED"/>
    <w:rsid w:val="008B2E34"/>
    <w:rsid w:val="008F135E"/>
    <w:rsid w:val="00955A6A"/>
    <w:rsid w:val="009E2F04"/>
    <w:rsid w:val="009F64E6"/>
    <w:rsid w:val="00A229CB"/>
    <w:rsid w:val="00AE6431"/>
    <w:rsid w:val="00AE6B25"/>
    <w:rsid w:val="00B54436"/>
    <w:rsid w:val="00B633FB"/>
    <w:rsid w:val="00C24D16"/>
    <w:rsid w:val="00C36568"/>
    <w:rsid w:val="00C753F8"/>
    <w:rsid w:val="00CB0B74"/>
    <w:rsid w:val="00CD66C7"/>
    <w:rsid w:val="00CE4FAB"/>
    <w:rsid w:val="00D0117B"/>
    <w:rsid w:val="00D50976"/>
    <w:rsid w:val="00D607EB"/>
    <w:rsid w:val="00DA51C5"/>
    <w:rsid w:val="00DB20EF"/>
    <w:rsid w:val="00DC0709"/>
    <w:rsid w:val="00DC2E96"/>
    <w:rsid w:val="00E6116D"/>
    <w:rsid w:val="00EA6DA0"/>
    <w:rsid w:val="00EC14B3"/>
    <w:rsid w:val="00EF5E51"/>
    <w:rsid w:val="00F034DA"/>
    <w:rsid w:val="00FB5A1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399F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F3"/>
  </w:style>
  <w:style w:type="paragraph" w:styleId="Heading1">
    <w:name w:val="heading 1"/>
    <w:basedOn w:val="Normal"/>
    <w:next w:val="Normal"/>
    <w:link w:val="Heading1Char"/>
    <w:uiPriority w:val="9"/>
    <w:qFormat/>
    <w:rsid w:val="00D50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66669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  <w:style w:type="character" w:customStyle="1" w:styleId="MainheadingChar">
    <w:name w:val="Main heading Char"/>
    <w:basedOn w:val="DefaultParagraphFont"/>
    <w:link w:val="Mainheading"/>
    <w:locked/>
    <w:rsid w:val="00D50976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D50976"/>
    <w:pPr>
      <w:spacing w:before="0" w:after="120" w:line="276" w:lineRule="auto"/>
    </w:pPr>
    <w:rPr>
      <w:rFonts w:ascii="Arial" w:hAnsi="Arial"/>
      <w:b/>
      <w:bCs/>
      <w:color w:val="9CD020"/>
      <w:sz w:val="28"/>
      <w:szCs w:val="28"/>
    </w:rPr>
  </w:style>
  <w:style w:type="paragraph" w:customStyle="1" w:styleId="Heading">
    <w:name w:val="Heading"/>
    <w:autoRedefine/>
    <w:qFormat/>
    <w:rsid w:val="008B1CED"/>
    <w:pPr>
      <w:spacing w:after="120" w:line="276" w:lineRule="auto"/>
    </w:pPr>
    <w:rPr>
      <w:rFonts w:ascii="Arial" w:eastAsiaTheme="majorEastAsia" w:hAnsi="Arial" w:cstheme="majorBidi"/>
      <w:b/>
      <w:bCs/>
      <w:color w:val="49B4B7"/>
      <w:sz w:val="28"/>
      <w:szCs w:val="28"/>
    </w:rPr>
  </w:style>
  <w:style w:type="paragraph" w:customStyle="1" w:styleId="Headline2">
    <w:name w:val="Headline2"/>
    <w:basedOn w:val="Normal"/>
    <w:autoRedefine/>
    <w:qFormat/>
    <w:rsid w:val="00EC14B3"/>
    <w:pPr>
      <w:tabs>
        <w:tab w:val="left" w:pos="4664"/>
      </w:tabs>
      <w:spacing w:after="0" w:line="240" w:lineRule="auto"/>
    </w:pPr>
    <w:rPr>
      <w:rFonts w:ascii="Arial" w:hAnsi="Arial"/>
      <w:color w:val="7F7F7F" w:themeColor="text1" w:themeTint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5097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1"/>
    <w:locked/>
    <w:rsid w:val="00D50976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D50976"/>
    <w:pPr>
      <w:spacing w:after="120" w:line="276" w:lineRule="auto"/>
    </w:pPr>
    <w:rPr>
      <w:rFonts w:ascii="Arial" w:hAnsi="Arial" w:cs="Arial"/>
      <w:color w:val="6969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concomitant-diabetes-and-heart-disease-have-no-fear-comparative-review-glp-1-agonists-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zientSupport@Vizient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inuingeducation@vizient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ngeducation.vizientinc.com/content/concomitant-diabetes-and-heart-disease-have-no-fear-comparative-review-glp-1-agonists-v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4</cp:revision>
  <dcterms:created xsi:type="dcterms:W3CDTF">2020-04-09T13:48:00Z</dcterms:created>
  <dcterms:modified xsi:type="dcterms:W3CDTF">2020-04-09T14:28:00Z</dcterms:modified>
</cp:coreProperties>
</file>