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770F2F4B" w:rsidR="00423054" w:rsidRPr="00E50346" w:rsidRDefault="0004240F" w:rsidP="00D6051F">
      <w:pPr>
        <w:pStyle w:val="Heading"/>
      </w:pPr>
      <w:r>
        <w:t xml:space="preserve">USP Compounding Compliance: </w:t>
      </w:r>
      <w:r w:rsidR="00031292">
        <w:t>A System and Systematic Approach to Implementation of USP 800</w:t>
      </w:r>
    </w:p>
    <w:p w14:paraId="0D0DC3CD" w14:textId="14BC573B"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7F3907">
        <w:rPr>
          <w:color w:val="595959" w:themeColor="text1" w:themeTint="A6"/>
        </w:rPr>
        <w:t xml:space="preserve">February </w:t>
      </w:r>
      <w:r w:rsidR="00031292">
        <w:rPr>
          <w:color w:val="595959" w:themeColor="text1" w:themeTint="A6"/>
        </w:rPr>
        <w:t>25</w:t>
      </w:r>
      <w:r w:rsidR="0004240F">
        <w:rPr>
          <w:color w:val="595959" w:themeColor="text1" w:themeTint="A6"/>
        </w:rPr>
        <w:t>, 2021</w:t>
      </w:r>
    </w:p>
    <w:p w14:paraId="641D3E3A" w14:textId="0E5C56BC"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04240F">
        <w:rPr>
          <w:color w:val="595959" w:themeColor="text1" w:themeTint="A6"/>
        </w:rPr>
        <w:t>Jackie Stokes</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45E384D0"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7F3907">
        <w:rPr>
          <w:rFonts w:cs="Arial"/>
          <w:b/>
          <w:color w:val="595959" w:themeColor="text1" w:themeTint="A6"/>
          <w:szCs w:val="20"/>
        </w:rPr>
        <w:t xml:space="preserve">April </w:t>
      </w:r>
      <w:r w:rsidR="00A576A4">
        <w:rPr>
          <w:rFonts w:cs="Arial"/>
          <w:b/>
          <w:color w:val="595959" w:themeColor="text1" w:themeTint="A6"/>
          <w:szCs w:val="20"/>
        </w:rPr>
        <w:t>10</w:t>
      </w:r>
      <w:r w:rsidR="0004240F">
        <w:rPr>
          <w:rFonts w:cs="Arial"/>
          <w:b/>
          <w:color w:val="595959" w:themeColor="text1" w:themeTint="A6"/>
          <w:szCs w:val="20"/>
        </w:rPr>
        <w:t>, 2021</w:t>
      </w:r>
    </w:p>
    <w:p w14:paraId="03A41A56" w14:textId="77777777"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300F03A6"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19A9E2B8" w:rsidR="008730EB" w:rsidRPr="008730EB" w:rsidRDefault="00BC5546"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691B9263" w:rsidR="0035174D" w:rsidRPr="00145C63" w:rsidRDefault="00A576A4"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Discuss a model of components necessary for handling hazardous drugs within pharmacy that addresses USP 800 requirements</w:t>
      </w:r>
    </w:p>
    <w:p w14:paraId="193176A5" w14:textId="123CF9C8" w:rsidR="004A294A" w:rsidRPr="00145C63" w:rsidRDefault="00A576A4"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Identify system/organizational improvement opportunities for employee safety in handling hazardous drugs outside of pharmacy in compliance with USP 800 requirements</w:t>
      </w:r>
    </w:p>
    <w:p w14:paraId="19A14A12" w14:textId="1DD3877A" w:rsidR="004A294A" w:rsidRPr="00145C63" w:rsidRDefault="00A576A4"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Examine a collaborative model Designated Person hybrid structure to oversee hazardous drugs movement and manipulation within the organization (inside and outside of pharmacy) to achieve compliance with USP 800 requirements</w:t>
      </w:r>
    </w:p>
    <w:p w14:paraId="250850DB" w14:textId="3B6AD2D7" w:rsidR="001449C2" w:rsidRPr="008730EB" w:rsidRDefault="001449C2" w:rsidP="001449C2">
      <w:pPr>
        <w:spacing w:after="120"/>
        <w:rPr>
          <w:rFonts w:cs="Arial"/>
          <w:b/>
          <w:color w:val="01ADAB"/>
          <w:sz w:val="24"/>
        </w:rPr>
      </w:pPr>
      <w:r>
        <w:rPr>
          <w:rFonts w:cs="Arial"/>
          <w:b/>
          <w:color w:val="01ADAB"/>
          <w:sz w:val="24"/>
        </w:rPr>
        <w:lastRenderedPageBreak/>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6FE403D5" w14:textId="55461317" w:rsidR="00BC5546" w:rsidRDefault="00A576A4" w:rsidP="00BC5546">
      <w:pPr>
        <w:pStyle w:val="ListParagraph"/>
        <w:numPr>
          <w:ilvl w:val="0"/>
          <w:numId w:val="46"/>
        </w:numPr>
        <w:ind w:left="360"/>
        <w:rPr>
          <w:rFonts w:eastAsia="Calibri" w:cs="Arial"/>
          <w:color w:val="595959" w:themeColor="text1" w:themeTint="A6"/>
          <w:szCs w:val="20"/>
        </w:rPr>
      </w:pPr>
      <w:r>
        <w:rPr>
          <w:rFonts w:eastAsia="Calibri" w:cs="Arial"/>
          <w:color w:val="595959" w:themeColor="text1" w:themeTint="A6"/>
          <w:szCs w:val="20"/>
        </w:rPr>
        <w:t>Describe critical practice, quality and engineering controls associated with handling hazardous drugs in compliance with USP 800 requirements</w:t>
      </w:r>
    </w:p>
    <w:p w14:paraId="7C57360A" w14:textId="6D9B1200" w:rsidR="00A576A4" w:rsidRPr="00A576A4" w:rsidRDefault="00A576A4" w:rsidP="00A576A4">
      <w:pPr>
        <w:pStyle w:val="ListParagraph"/>
        <w:numPr>
          <w:ilvl w:val="0"/>
          <w:numId w:val="46"/>
        </w:numPr>
        <w:ind w:left="360"/>
        <w:rPr>
          <w:color w:val="595959" w:themeColor="text1" w:themeTint="A6"/>
          <w:sz w:val="22"/>
        </w:rPr>
      </w:pPr>
      <w:r w:rsidRPr="00A576A4">
        <w:rPr>
          <w:color w:val="595959" w:themeColor="text1" w:themeTint="A6"/>
          <w:sz w:val="22"/>
        </w:rPr>
        <w:t>Support creation of an organizational system that ensures compliance with USP 800 requirements for employee safety</w:t>
      </w:r>
    </w:p>
    <w:p w14:paraId="0B6D02C5" w14:textId="77777777" w:rsidR="00BC5546" w:rsidRPr="00BC5546" w:rsidRDefault="00BC5546" w:rsidP="00BC5546"/>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3A1602C1"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BC5546">
        <w:rPr>
          <w:rFonts w:cs="Arial"/>
          <w:color w:val="595959" w:themeColor="text1" w:themeTint="A6"/>
        </w:rPr>
        <w:t>1</w:t>
      </w:r>
      <w:r w:rsidRPr="00145C63">
        <w:rPr>
          <w:rFonts w:cs="Arial"/>
          <w:color w:val="595959" w:themeColor="text1" w:themeTint="A6"/>
        </w:rPr>
        <w:t>-</w:t>
      </w:r>
      <w:r w:rsidR="00BD3963">
        <w:rPr>
          <w:rFonts w:cs="Arial"/>
          <w:color w:val="595959" w:themeColor="text1" w:themeTint="A6"/>
        </w:rPr>
        <w:t>08</w:t>
      </w:r>
      <w:r w:rsidR="009D2DB6">
        <w:rPr>
          <w:rFonts w:cs="Arial"/>
          <w:color w:val="595959" w:themeColor="text1" w:themeTint="A6"/>
        </w:rPr>
        <w:t>6</w:t>
      </w:r>
      <w:r w:rsidRPr="00145C63">
        <w:rPr>
          <w:rFonts w:cs="Arial"/>
          <w:color w:val="595959" w:themeColor="text1" w:themeTint="A6"/>
        </w:rPr>
        <w:t>-L0</w:t>
      </w:r>
      <w:r w:rsidR="009D2DB6">
        <w:rPr>
          <w:rFonts w:cs="Arial"/>
          <w:color w:val="595959" w:themeColor="text1" w:themeTint="A6"/>
        </w:rPr>
        <w:t>5</w:t>
      </w:r>
      <w:r w:rsidRPr="00145C63">
        <w:rPr>
          <w:rFonts w:cs="Arial"/>
          <w:color w:val="595959" w:themeColor="text1" w:themeTint="A6"/>
        </w:rPr>
        <w:t>-P</w:t>
      </w:r>
    </w:p>
    <w:p w14:paraId="2FFAF152" w14:textId="029A6521"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BC5546">
        <w:rPr>
          <w:rFonts w:cs="Arial"/>
          <w:color w:val="595959" w:themeColor="text1" w:themeTint="A6"/>
        </w:rPr>
        <w:t>1</w:t>
      </w:r>
      <w:r w:rsidRPr="00145C63">
        <w:rPr>
          <w:rFonts w:cs="Arial"/>
          <w:color w:val="595959" w:themeColor="text1" w:themeTint="A6"/>
        </w:rPr>
        <w:t>-</w:t>
      </w:r>
      <w:r w:rsidR="00BD3963">
        <w:rPr>
          <w:rFonts w:cs="Arial"/>
          <w:color w:val="595959" w:themeColor="text1" w:themeTint="A6"/>
        </w:rPr>
        <w:t>08</w:t>
      </w:r>
      <w:r w:rsidR="009D2DB6">
        <w:rPr>
          <w:rFonts w:cs="Arial"/>
          <w:color w:val="595959" w:themeColor="text1" w:themeTint="A6"/>
        </w:rPr>
        <w:t>6</w:t>
      </w:r>
      <w:r w:rsidRPr="00145C63">
        <w:rPr>
          <w:rFonts w:cs="Arial"/>
          <w:color w:val="595959" w:themeColor="text1" w:themeTint="A6"/>
        </w:rPr>
        <w:t>-L0</w:t>
      </w:r>
      <w:r w:rsidR="009D2DB6">
        <w:rPr>
          <w:rFonts w:cs="Arial"/>
          <w:color w:val="595959" w:themeColor="text1" w:themeTint="A6"/>
        </w:rPr>
        <w:t>5</w:t>
      </w:r>
      <w:r w:rsidRPr="00145C63">
        <w:rPr>
          <w:rFonts w:cs="Arial"/>
          <w:color w:val="595959" w:themeColor="text1" w:themeTint="A6"/>
        </w:rPr>
        <w:t>-T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lastRenderedPageBreak/>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78266659" w:rsidR="00CB449D"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7431497C" w14:textId="77777777" w:rsidR="009D2DB6" w:rsidRPr="00D3796A" w:rsidRDefault="009D2DB6" w:rsidP="00CB449D">
      <w:pPr>
        <w:spacing w:before="120"/>
        <w:rPr>
          <w:rFonts w:cs="Arial"/>
          <w:bCs/>
          <w:color w:val="595959" w:themeColor="text1" w:themeTint="A6"/>
          <w:szCs w:val="20"/>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7243D104" w:rsidR="00CB449D" w:rsidRPr="00145C63" w:rsidRDefault="00317D3B" w:rsidP="00DD68D3">
      <w:pPr>
        <w:rPr>
          <w:b/>
          <w:color w:val="595959" w:themeColor="text1" w:themeTint="A6"/>
        </w:rPr>
      </w:pPr>
      <w:r>
        <w:rPr>
          <w:b/>
          <w:color w:val="595959" w:themeColor="text1" w:themeTint="A6"/>
        </w:rPr>
        <w:t>Gretchen Brummel, PharmD, BCPS</w:t>
      </w:r>
    </w:p>
    <w:p w14:paraId="5789D79B" w14:textId="77777777" w:rsidR="00317D3B" w:rsidRDefault="00317D3B" w:rsidP="00317D3B">
      <w:pPr>
        <w:rPr>
          <w:rFonts w:cs="Arial"/>
          <w:color w:val="595959" w:themeColor="text1" w:themeTint="A6"/>
        </w:rPr>
      </w:pPr>
      <w:r>
        <w:rPr>
          <w:rFonts w:cs="Arial"/>
          <w:color w:val="595959" w:themeColor="text1" w:themeTint="A6"/>
        </w:rPr>
        <w:t>Consulting Director, Pharmacy</w:t>
      </w:r>
    </w:p>
    <w:p w14:paraId="5E2131FE" w14:textId="77777777" w:rsidR="00317D3B" w:rsidRPr="00266041" w:rsidRDefault="00317D3B" w:rsidP="00317D3B">
      <w:pPr>
        <w:rPr>
          <w:rFonts w:cs="Arial"/>
          <w:color w:val="595959" w:themeColor="text1" w:themeTint="A6"/>
        </w:rPr>
      </w:pPr>
      <w:r>
        <w:rPr>
          <w:rFonts w:cs="Arial"/>
          <w:color w:val="595959" w:themeColor="text1" w:themeTint="A6"/>
        </w:rPr>
        <w:t>Vizient</w:t>
      </w:r>
    </w:p>
    <w:p w14:paraId="357CDA01" w14:textId="77777777" w:rsidR="00CB449D" w:rsidRPr="00CB449D" w:rsidRDefault="00CB449D" w:rsidP="00DD68D3">
      <w:pPr>
        <w:rPr>
          <w:color w:val="7F7F7F" w:themeColor="text1" w:themeTint="80"/>
        </w:rPr>
      </w:pPr>
    </w:p>
    <w:p w14:paraId="11C41A61" w14:textId="0D0E4E03" w:rsidR="00CB449D" w:rsidRPr="00145C63" w:rsidRDefault="00317D3B" w:rsidP="00DD68D3">
      <w:pPr>
        <w:rPr>
          <w:b/>
          <w:color w:val="595959" w:themeColor="text1" w:themeTint="A6"/>
        </w:rPr>
      </w:pPr>
      <w:r>
        <w:rPr>
          <w:b/>
          <w:color w:val="595959" w:themeColor="text1" w:themeTint="A6"/>
        </w:rPr>
        <w:t>Jackie Stokes, BS</w:t>
      </w:r>
    </w:p>
    <w:p w14:paraId="2B34AFB1" w14:textId="1C3492A2" w:rsidR="00CB449D" w:rsidRPr="00145C63" w:rsidRDefault="00317D3B" w:rsidP="00DD68D3">
      <w:pPr>
        <w:rPr>
          <w:color w:val="595959" w:themeColor="text1" w:themeTint="A6"/>
        </w:rPr>
      </w:pPr>
      <w:r>
        <w:rPr>
          <w:color w:val="595959" w:themeColor="text1" w:themeTint="A6"/>
        </w:rPr>
        <w:t>Manager, Pharmacy Program</w:t>
      </w:r>
    </w:p>
    <w:p w14:paraId="587B3343" w14:textId="77777777" w:rsidR="00317D3B" w:rsidRPr="00266041" w:rsidRDefault="00317D3B" w:rsidP="00317D3B">
      <w:pPr>
        <w:rPr>
          <w:rFonts w:cs="Arial"/>
          <w:color w:val="595959" w:themeColor="text1" w:themeTint="A6"/>
        </w:rPr>
      </w:pPr>
      <w:r>
        <w:rPr>
          <w:rFonts w:cs="Arial"/>
          <w:color w:val="595959" w:themeColor="text1" w:themeTint="A6"/>
        </w:rPr>
        <w:t>Vizient</w:t>
      </w:r>
    </w:p>
    <w:p w14:paraId="2E4B3623" w14:textId="77777777" w:rsidR="00CB449D" w:rsidRPr="00145C63" w:rsidRDefault="00CB449D" w:rsidP="00DD68D3">
      <w:pPr>
        <w:rPr>
          <w:color w:val="595959" w:themeColor="text1" w:themeTint="A6"/>
        </w:rPr>
      </w:pPr>
    </w:p>
    <w:p w14:paraId="30F378A1" w14:textId="11204F54"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74D7AF50" w14:textId="77777777" w:rsidR="00317D3B" w:rsidRPr="00317D3B" w:rsidRDefault="00317D3B" w:rsidP="00317D3B">
      <w:pPr>
        <w:rPr>
          <w:rFonts w:ascii="Courier New" w:hAnsi="Courier New" w:cs="Courier New"/>
          <w:b/>
          <w:bCs/>
          <w:color w:val="404040" w:themeColor="text1" w:themeTint="BF"/>
          <w:szCs w:val="20"/>
        </w:rPr>
      </w:pPr>
      <w:r w:rsidRPr="00317D3B">
        <w:rPr>
          <w:rFonts w:cs="Arial"/>
          <w:b/>
          <w:bCs/>
          <w:color w:val="404040" w:themeColor="text1" w:themeTint="BF"/>
          <w:szCs w:val="20"/>
        </w:rPr>
        <w:t xml:space="preserve">Katrina K. Harper, PharmD, MBA, BCPS, BCSCP </w:t>
      </w:r>
    </w:p>
    <w:p w14:paraId="116D7F1C" w14:textId="77777777" w:rsidR="00317D3B" w:rsidRDefault="00317D3B" w:rsidP="00317D3B">
      <w:pPr>
        <w:rPr>
          <w:rFonts w:cs="Arial"/>
          <w:color w:val="696969"/>
          <w:szCs w:val="20"/>
        </w:rPr>
      </w:pPr>
      <w:r>
        <w:rPr>
          <w:rFonts w:cs="Arial"/>
          <w:color w:val="696969"/>
          <w:szCs w:val="20"/>
        </w:rPr>
        <w:t xml:space="preserve">Clinical Pharmacy Director, Sourcing Operations </w:t>
      </w:r>
    </w:p>
    <w:p w14:paraId="30B21024" w14:textId="77777777" w:rsidR="00317D3B" w:rsidRDefault="00317D3B" w:rsidP="00317D3B">
      <w:pPr>
        <w:rPr>
          <w:rFonts w:cs="Arial"/>
          <w:color w:val="696969"/>
          <w:szCs w:val="20"/>
        </w:rPr>
      </w:pPr>
      <w:r>
        <w:rPr>
          <w:rFonts w:cs="Arial"/>
          <w:color w:val="696969"/>
          <w:szCs w:val="20"/>
        </w:rPr>
        <w:t>Center for Pharmacy Practice Excellence</w:t>
      </w:r>
    </w:p>
    <w:p w14:paraId="1E3DD910" w14:textId="77777777" w:rsidR="00CB449D" w:rsidRPr="00145C63" w:rsidRDefault="00CB449D" w:rsidP="00DD68D3">
      <w:pPr>
        <w:rPr>
          <w:color w:val="595959" w:themeColor="text1" w:themeTint="A6"/>
        </w:rPr>
      </w:pPr>
    </w:p>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77777777" w:rsidR="00DD68D3" w:rsidRPr="00DD68D3" w:rsidRDefault="00DD68D3" w:rsidP="00DD68D3"/>
    <w:p w14:paraId="422A3FF3" w14:textId="7D08310F" w:rsidR="00CB449D" w:rsidRPr="00145C63" w:rsidRDefault="009D2DB6" w:rsidP="00DD68D3">
      <w:pPr>
        <w:rPr>
          <w:b/>
          <w:color w:val="595959" w:themeColor="text1" w:themeTint="A6"/>
        </w:rPr>
      </w:pPr>
      <w:r>
        <w:rPr>
          <w:b/>
          <w:color w:val="595959" w:themeColor="text1" w:themeTint="A6"/>
        </w:rPr>
        <w:t>Jason Chou, PharmD, MS</w:t>
      </w:r>
    </w:p>
    <w:p w14:paraId="69E43666" w14:textId="30E532F6" w:rsidR="00CB449D" w:rsidRDefault="009D2DB6" w:rsidP="00DD68D3">
      <w:pPr>
        <w:rPr>
          <w:color w:val="595959" w:themeColor="text1" w:themeTint="A6"/>
        </w:rPr>
      </w:pPr>
      <w:r>
        <w:rPr>
          <w:color w:val="595959" w:themeColor="text1" w:themeTint="A6"/>
        </w:rPr>
        <w:t>System AVP, Pharmacy Operations</w:t>
      </w:r>
    </w:p>
    <w:p w14:paraId="63E0E6D3" w14:textId="74CECE78" w:rsidR="009D2DB6" w:rsidRDefault="009D2DB6" w:rsidP="00DD68D3">
      <w:pPr>
        <w:rPr>
          <w:color w:val="595959" w:themeColor="text1" w:themeTint="A6"/>
        </w:rPr>
      </w:pPr>
      <w:r>
        <w:rPr>
          <w:color w:val="595959" w:themeColor="text1" w:themeTint="A6"/>
        </w:rPr>
        <w:t>Ochsner Health</w:t>
      </w:r>
    </w:p>
    <w:p w14:paraId="1056CB21" w14:textId="77777777" w:rsidR="00CB449D" w:rsidRPr="00145C63" w:rsidRDefault="00CB449D" w:rsidP="00DD68D3">
      <w:pPr>
        <w:rPr>
          <w:color w:val="595959" w:themeColor="text1" w:themeTint="A6"/>
        </w:rPr>
      </w:pPr>
    </w:p>
    <w:p w14:paraId="6CBB589F" w14:textId="7D1A0324" w:rsidR="00CB449D" w:rsidRPr="00145C63" w:rsidRDefault="009D2DB6" w:rsidP="00DD68D3">
      <w:pPr>
        <w:rPr>
          <w:b/>
          <w:color w:val="595959" w:themeColor="text1" w:themeTint="A6"/>
        </w:rPr>
      </w:pPr>
      <w:r>
        <w:rPr>
          <w:b/>
          <w:color w:val="595959" w:themeColor="text1" w:themeTint="A6"/>
        </w:rPr>
        <w:t xml:space="preserve">Paul </w:t>
      </w:r>
      <w:proofErr w:type="spellStart"/>
      <w:r>
        <w:rPr>
          <w:b/>
          <w:color w:val="595959" w:themeColor="text1" w:themeTint="A6"/>
        </w:rPr>
        <w:t>Menasco</w:t>
      </w:r>
      <w:proofErr w:type="spellEnd"/>
      <w:r>
        <w:rPr>
          <w:b/>
          <w:color w:val="595959" w:themeColor="text1" w:themeTint="A6"/>
        </w:rPr>
        <w:t>, PharmD</w:t>
      </w:r>
    </w:p>
    <w:p w14:paraId="6A43CF55" w14:textId="659481F2" w:rsidR="00CB449D" w:rsidRPr="00145C63" w:rsidRDefault="009D2DB6" w:rsidP="00DD68D3">
      <w:pPr>
        <w:rPr>
          <w:color w:val="595959" w:themeColor="text1" w:themeTint="A6"/>
        </w:rPr>
      </w:pPr>
      <w:r>
        <w:rPr>
          <w:color w:val="595959" w:themeColor="text1" w:themeTint="A6"/>
        </w:rPr>
        <w:t>System Accreditation and Regulation Compliance Pharmacist</w:t>
      </w:r>
    </w:p>
    <w:p w14:paraId="4675EE95" w14:textId="64CB0C4B" w:rsidR="00CB449D" w:rsidRDefault="009D2DB6" w:rsidP="00DD68D3">
      <w:pPr>
        <w:rPr>
          <w:color w:val="595959" w:themeColor="text1" w:themeTint="A6"/>
        </w:rPr>
      </w:pPr>
      <w:r>
        <w:rPr>
          <w:color w:val="595959" w:themeColor="text1" w:themeTint="A6"/>
        </w:rPr>
        <w:t>Ochsner Health</w:t>
      </w:r>
    </w:p>
    <w:p w14:paraId="5CA37555" w14:textId="05D920CA" w:rsidR="009D2DB6" w:rsidRDefault="009D2DB6" w:rsidP="00DD68D3">
      <w:pPr>
        <w:rPr>
          <w:color w:val="595959" w:themeColor="text1" w:themeTint="A6"/>
        </w:rPr>
      </w:pPr>
    </w:p>
    <w:p w14:paraId="75CB8FDD" w14:textId="39DAD4C3" w:rsidR="009D2DB6" w:rsidRPr="009D2DB6" w:rsidRDefault="009D2DB6" w:rsidP="00DD68D3">
      <w:pPr>
        <w:rPr>
          <w:b/>
          <w:bCs/>
          <w:color w:val="595959" w:themeColor="text1" w:themeTint="A6"/>
        </w:rPr>
      </w:pPr>
      <w:r w:rsidRPr="009D2DB6">
        <w:rPr>
          <w:b/>
          <w:bCs/>
          <w:color w:val="595959" w:themeColor="text1" w:themeTint="A6"/>
        </w:rPr>
        <w:t xml:space="preserve">Michael C. </w:t>
      </w:r>
      <w:proofErr w:type="spellStart"/>
      <w:r w:rsidRPr="009D2DB6">
        <w:rPr>
          <w:b/>
          <w:bCs/>
          <w:color w:val="595959" w:themeColor="text1" w:themeTint="A6"/>
        </w:rPr>
        <w:t>Boucree</w:t>
      </w:r>
      <w:proofErr w:type="spellEnd"/>
      <w:r w:rsidRPr="009D2DB6">
        <w:rPr>
          <w:b/>
          <w:bCs/>
          <w:color w:val="595959" w:themeColor="text1" w:themeTint="A6"/>
        </w:rPr>
        <w:t>, MD, MPH, FACP, CPE</w:t>
      </w:r>
    </w:p>
    <w:p w14:paraId="1B2121B2" w14:textId="521F4D88" w:rsidR="009D2DB6" w:rsidRDefault="009D2DB6" w:rsidP="00DD68D3">
      <w:pPr>
        <w:rPr>
          <w:color w:val="595959" w:themeColor="text1" w:themeTint="A6"/>
        </w:rPr>
      </w:pPr>
      <w:r>
        <w:rPr>
          <w:color w:val="595959" w:themeColor="text1" w:themeTint="A6"/>
        </w:rPr>
        <w:t>Medical Director for Regulatory Affairs</w:t>
      </w:r>
    </w:p>
    <w:p w14:paraId="15EE3080" w14:textId="5F40DF9E" w:rsidR="009D2DB6" w:rsidRPr="00145C63" w:rsidRDefault="009D2DB6" w:rsidP="00DD68D3">
      <w:pPr>
        <w:rPr>
          <w:color w:val="595959" w:themeColor="text1" w:themeTint="A6"/>
        </w:rPr>
      </w:pPr>
      <w:r>
        <w:rPr>
          <w:color w:val="595959" w:themeColor="text1" w:themeTint="A6"/>
        </w:rPr>
        <w:t>Ochsner Health</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57335"/>
    <w:multiLevelType w:val="hybridMultilevel"/>
    <w:tmpl w:val="1E144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6"/>
  </w:num>
  <w:num w:numId="2">
    <w:abstractNumId w:val="18"/>
  </w:num>
  <w:num w:numId="3">
    <w:abstractNumId w:val="33"/>
  </w:num>
  <w:num w:numId="4">
    <w:abstractNumId w:val="33"/>
  </w:num>
  <w:num w:numId="5">
    <w:abstractNumId w:val="30"/>
  </w:num>
  <w:num w:numId="6">
    <w:abstractNumId w:val="5"/>
  </w:num>
  <w:num w:numId="7">
    <w:abstractNumId w:val="25"/>
  </w:num>
  <w:num w:numId="8">
    <w:abstractNumId w:val="40"/>
  </w:num>
  <w:num w:numId="9">
    <w:abstractNumId w:val="37"/>
  </w:num>
  <w:num w:numId="10">
    <w:abstractNumId w:val="41"/>
  </w:num>
  <w:num w:numId="11">
    <w:abstractNumId w:val="14"/>
  </w:num>
  <w:num w:numId="12">
    <w:abstractNumId w:val="27"/>
  </w:num>
  <w:num w:numId="13">
    <w:abstractNumId w:val="17"/>
  </w:num>
  <w:num w:numId="14">
    <w:abstractNumId w:val="32"/>
  </w:num>
  <w:num w:numId="15">
    <w:abstractNumId w:val="20"/>
  </w:num>
  <w:num w:numId="16">
    <w:abstractNumId w:val="7"/>
  </w:num>
  <w:num w:numId="17">
    <w:abstractNumId w:val="15"/>
  </w:num>
  <w:num w:numId="18">
    <w:abstractNumId w:val="36"/>
  </w:num>
  <w:num w:numId="19">
    <w:abstractNumId w:val="39"/>
  </w:num>
  <w:num w:numId="20">
    <w:abstractNumId w:val="29"/>
  </w:num>
  <w:num w:numId="21">
    <w:abstractNumId w:val="10"/>
  </w:num>
  <w:num w:numId="22">
    <w:abstractNumId w:val="23"/>
  </w:num>
  <w:num w:numId="23">
    <w:abstractNumId w:val="13"/>
  </w:num>
  <w:num w:numId="24">
    <w:abstractNumId w:val="35"/>
  </w:num>
  <w:num w:numId="25">
    <w:abstractNumId w:val="4"/>
  </w:num>
  <w:num w:numId="26">
    <w:abstractNumId w:val="21"/>
  </w:num>
  <w:num w:numId="27">
    <w:abstractNumId w:val="38"/>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9"/>
  </w:num>
  <w:num w:numId="33">
    <w:abstractNumId w:val="34"/>
  </w:num>
  <w:num w:numId="34">
    <w:abstractNumId w:val="22"/>
  </w:num>
  <w:num w:numId="35">
    <w:abstractNumId w:val="11"/>
  </w:num>
  <w:num w:numId="36">
    <w:abstractNumId w:val="2"/>
  </w:num>
  <w:num w:numId="37">
    <w:abstractNumId w:val="1"/>
  </w:num>
  <w:num w:numId="38">
    <w:abstractNumId w:val="6"/>
  </w:num>
  <w:num w:numId="39">
    <w:abstractNumId w:val="8"/>
  </w:num>
  <w:num w:numId="40">
    <w:abstractNumId w:val="3"/>
  </w:num>
  <w:num w:numId="41">
    <w:abstractNumId w:val="19"/>
  </w:num>
  <w:num w:numId="42">
    <w:abstractNumId w:val="31"/>
  </w:num>
  <w:num w:numId="43">
    <w:abstractNumId w:val="16"/>
  </w:num>
  <w:num w:numId="44">
    <w:abstractNumId w:val="12"/>
  </w:num>
  <w:num w:numId="45">
    <w:abstractNumId w:val="24"/>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1292"/>
    <w:rsid w:val="00035D1B"/>
    <w:rsid w:val="00040BC4"/>
    <w:rsid w:val="0004240F"/>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17D3B"/>
    <w:rsid w:val="003259A5"/>
    <w:rsid w:val="00330B71"/>
    <w:rsid w:val="003404C7"/>
    <w:rsid w:val="00350D84"/>
    <w:rsid w:val="0035174D"/>
    <w:rsid w:val="003539AF"/>
    <w:rsid w:val="00367136"/>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3907"/>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2F7F"/>
    <w:rsid w:val="008D1039"/>
    <w:rsid w:val="008F0EC4"/>
    <w:rsid w:val="008F1B74"/>
    <w:rsid w:val="009225E4"/>
    <w:rsid w:val="00931508"/>
    <w:rsid w:val="009322F6"/>
    <w:rsid w:val="00952F89"/>
    <w:rsid w:val="00963CDE"/>
    <w:rsid w:val="00971D43"/>
    <w:rsid w:val="00980A48"/>
    <w:rsid w:val="00987B49"/>
    <w:rsid w:val="009A27BF"/>
    <w:rsid w:val="009A7E1B"/>
    <w:rsid w:val="009A7E9D"/>
    <w:rsid w:val="009B2BA5"/>
    <w:rsid w:val="009B6D1A"/>
    <w:rsid w:val="009D2DB6"/>
    <w:rsid w:val="009D4020"/>
    <w:rsid w:val="009F4A49"/>
    <w:rsid w:val="00A00028"/>
    <w:rsid w:val="00A5195E"/>
    <w:rsid w:val="00A576A4"/>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C5546"/>
    <w:rsid w:val="00BD3963"/>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3"/>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System" displayName="System" id="dc9731b4-d0d2-4ed5-b20d-434d69de1706" isdomainofvalue="False" dataSourceId="00b80028-d226-4a39-9a19-6787589aad19"/>
</file>

<file path=customXml/item10.xml><?xml version="1.0" encoding="utf-8"?>
<DataSourceInfo>
  <Id>80be7e5f-6e71-448c-9228-23264555308c</Id>
  <MajorVersion>0</MajorVersion>
  <MinorVersion>1</MinorVersion>
  <DataSourceType>Ad_Hoc</DataSourceType>
  <Name>AD_HOC</Name>
  <Description/>
  <Filter/>
  <DataFields/>
</DataSourceInfo>
</file>

<file path=customXml/item11.xml><?xml version="1.0" encoding="utf-8"?>
<AllWordPDs>
</AllWordPDs>
</file>

<file path=customXml/item12.xml><?xml version="1.0" encoding="utf-8"?>
<DataSourceInfo>
  <Id>87651697-ca1f-4d80-9f69-bb743e325714</Id>
  <MajorVersion>0</MajorVersion>
  <MinorVersion>1</MinorVersion>
  <DataSourceType>Expression</DataSourceType>
  <Name>Computed</Name>
  <Description/>
  <Filter/>
  <DataFields/>
</DataSourceInfo>
</file>

<file path=customXml/item13.xml><?xml version="1.0" encoding="utf-8"?>
<SourceDataModel Name="Computed" TargetDataSourceId="87651697-ca1f-4d80-9f69-bb743e325714"/>
</file>

<file path=customXml/item14.xml><?xml version="1.0" encoding="utf-8"?>
<SourceDataModel Name="System" TargetDataSourceId="00b80028-d226-4a39-9a19-6787589aad19"/>
</file>

<file path=customXml/item15.xml><?xml version="1.0" encoding="utf-8"?>
<?mso-contentType ?>
<FormTemplates xmlns="http://schemas.microsoft.com/sharepoint/v3/contenttype/forms">
  <Display>DocumentLibraryForm</Display>
  <Edit>DocumentLibraryForm</Edit>
  <New>DocumentLibraryForm</New>
</FormTemplates>
</file>

<file path=customXml/item16.xml><?xml version="1.0" encoding="utf-8"?>
<VariableListDefinition name="AD_HOC" displayName="AD_HOC" id="9426ea6f-1b24-4683-bca3-85d71f6375fd" isdomainofvalue="False" dataSourceId="80be7e5f-6e71-448c-9228-23264555308c"/>
</file>

<file path=customXml/item17.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8.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9.xml><?xml version="1.0" encoding="utf-8"?>
<VariableListDefinition name="Computed" displayName="Computed" id="69155e26-4760-488b-ab4c-bb15b0f8b2a2" isdomainofvalue="False" dataSourceId="87651697-ca1f-4d80-9f69-bb743e325714"/>
</file>

<file path=customXml/item2.xml><?xml version="1.0" encoding="utf-8"?>
<AllExternalAdhocVariableMappings/>
</file>

<file path=customXml/item20.xml><?xml version="1.0" encoding="utf-8"?>
<DataSourceInfo>
  <Id>00b80028-d226-4a39-9a19-6787589aad19</Id>
  <MajorVersion>0</MajorVersion>
  <MinorVersion>1</MinorVersion>
  <DataSourceType>System</DataSourceType>
  <Name>System</Name>
  <Description/>
  <Filter/>
  <DataFields/>
</DataSourceInfo>
</file>

<file path=customXml/item2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2.xml><?xml version="1.0" encoding="utf-8"?>
<AllMetadata/>
</file>

<file path=customXml/item2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5.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3.xml><?xml version="1.0" encoding="utf-8"?>
<SourceDataModel Name="AD_HOC" TargetDataSourceId="80be7e5f-6e71-448c-9228-23264555308c"/>
</file>

<file path=customXml/item4.xml><?xml version="1.0" encoding="utf-8"?>
<DocPartTree/>
</file>

<file path=customXml/item5.xml><?xml version="1.0" encoding="utf-8"?>
<VariableUsageMapping/>
</file>

<file path=customXml/item6.xml><?xml version="1.0" encoding="utf-8"?>
<?mso-contentType ?>
<SharedContentType xmlns="Microsoft.SharePoint.Taxonomy.ContentTypeSync" SourceId="c9bec5de-3132-4daf-ae55-1613447ae162" ContentTypeId="0x0101003892C1470B32FA4ABADA805F9A36FDE40106" PreviousValue="false"/>
</file>

<file path=customXml/item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8.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9.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Props1.xml><?xml version="1.0" encoding="utf-8"?>
<ds:datastoreItem xmlns:ds="http://schemas.openxmlformats.org/officeDocument/2006/customXml" ds:itemID="{80CE4447-D1BD-469E-BD8B-B31A4C9A896F}">
  <ds:schemaRefs/>
</ds:datastoreItem>
</file>

<file path=customXml/itemProps10.xml><?xml version="1.0" encoding="utf-8"?>
<ds:datastoreItem xmlns:ds="http://schemas.openxmlformats.org/officeDocument/2006/customXml" ds:itemID="{D4628565-9CB4-4F10-AA9C-1309D57A874A}">
  <ds:schemaRefs/>
</ds:datastoreItem>
</file>

<file path=customXml/itemProps11.xml><?xml version="1.0" encoding="utf-8"?>
<ds:datastoreItem xmlns:ds="http://schemas.openxmlformats.org/officeDocument/2006/customXml" ds:itemID="{78E85137-610F-4DE4-A961-7F7A1DA29F2D}">
  <ds:schemaRefs/>
</ds:datastoreItem>
</file>

<file path=customXml/itemProps12.xml><?xml version="1.0" encoding="utf-8"?>
<ds:datastoreItem xmlns:ds="http://schemas.openxmlformats.org/officeDocument/2006/customXml" ds:itemID="{83B1EF68-4D55-4397-AF73-D916BC2254F0}">
  <ds:schemaRefs/>
</ds:datastoreItem>
</file>

<file path=customXml/itemProps13.xml><?xml version="1.0" encoding="utf-8"?>
<ds:datastoreItem xmlns:ds="http://schemas.openxmlformats.org/officeDocument/2006/customXml" ds:itemID="{4C134B16-2CC0-4F00-BAB8-0BCCEF3E9F16}">
  <ds:schemaRefs/>
</ds:datastoreItem>
</file>

<file path=customXml/itemProps14.xml><?xml version="1.0" encoding="utf-8"?>
<ds:datastoreItem xmlns:ds="http://schemas.openxmlformats.org/officeDocument/2006/customXml" ds:itemID="{E0C162D0-F7BA-4089-AC31-880761F0BD65}">
  <ds:schemaRefs/>
</ds:datastoreItem>
</file>

<file path=customXml/itemProps1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6.xml><?xml version="1.0" encoding="utf-8"?>
<ds:datastoreItem xmlns:ds="http://schemas.openxmlformats.org/officeDocument/2006/customXml" ds:itemID="{1D690A50-E3B4-44F5-A4C5-75EEC88CF4EC}">
  <ds:schemaRefs/>
</ds:datastoreItem>
</file>

<file path=customXml/itemProps17.xml><?xml version="1.0" encoding="utf-8"?>
<ds:datastoreItem xmlns:ds="http://schemas.openxmlformats.org/officeDocument/2006/customXml" ds:itemID="{DE544662-F77F-4442-B53C-A34A18686309}">
  <ds:schemaRefs/>
</ds:datastoreItem>
</file>

<file path=customXml/itemProps18.xml><?xml version="1.0" encoding="utf-8"?>
<ds:datastoreItem xmlns:ds="http://schemas.openxmlformats.org/officeDocument/2006/customXml" ds:itemID="{C4AEAB29-4929-45AF-A192-84C4D708764D}">
  <ds:schemaRefs/>
</ds:datastoreItem>
</file>

<file path=customXml/itemProps19.xml><?xml version="1.0" encoding="utf-8"?>
<ds:datastoreItem xmlns:ds="http://schemas.openxmlformats.org/officeDocument/2006/customXml" ds:itemID="{37871AC4-84F1-4DCF-9181-89FBC406BA26}">
  <ds:schemaRefs/>
</ds:datastoreItem>
</file>

<file path=customXml/itemProps2.xml><?xml version="1.0" encoding="utf-8"?>
<ds:datastoreItem xmlns:ds="http://schemas.openxmlformats.org/officeDocument/2006/customXml" ds:itemID="{7B773B23-CD27-407C-8EF7-714316C2ACF2}">
  <ds:schemaRefs/>
</ds:datastoreItem>
</file>

<file path=customXml/itemProps20.xml><?xml version="1.0" encoding="utf-8"?>
<ds:datastoreItem xmlns:ds="http://schemas.openxmlformats.org/officeDocument/2006/customXml" ds:itemID="{7CA12843-4DEB-4A4D-9869-29F66BB28D05}">
  <ds:schemaRefs/>
</ds:datastoreItem>
</file>

<file path=customXml/itemProps2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2.xml><?xml version="1.0" encoding="utf-8"?>
<ds:datastoreItem xmlns:ds="http://schemas.openxmlformats.org/officeDocument/2006/customXml" ds:itemID="{A613EE9C-F5E0-4282-839C-53FE8976D615}">
  <ds:schemaRefs/>
</ds:datastoreItem>
</file>

<file path=customXml/itemProps2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4.xml><?xml version="1.0" encoding="utf-8"?>
<ds:datastoreItem xmlns:ds="http://schemas.openxmlformats.org/officeDocument/2006/customXml" ds:itemID="{0510B9D0-C027-45D1-B797-FA865004CBBF}">
  <ds:schemaRefs/>
</ds:datastoreItem>
</file>

<file path=customXml/itemProps25.xml><?xml version="1.0" encoding="utf-8"?>
<ds:datastoreItem xmlns:ds="http://schemas.openxmlformats.org/officeDocument/2006/customXml" ds:itemID="{5B401B9D-B553-4B56-A34A-971673CC9681}">
  <ds:schemaRefs/>
</ds:datastoreItem>
</file>

<file path=customXml/itemProps26.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7.xml><?xml version="1.0" encoding="utf-8"?>
<ds:datastoreItem xmlns:ds="http://schemas.openxmlformats.org/officeDocument/2006/customXml" ds:itemID="{BDDC9A50-D520-4DBB-861E-17850ECDD206}">
  <ds:schemaRefs/>
</ds:datastoreItem>
</file>

<file path=customXml/itemProps3.xml><?xml version="1.0" encoding="utf-8"?>
<ds:datastoreItem xmlns:ds="http://schemas.openxmlformats.org/officeDocument/2006/customXml" ds:itemID="{D44D0B5A-EC6D-4AEA-A833-02344E0C6DB2}">
  <ds:schemaRefs/>
</ds:datastoreItem>
</file>

<file path=customXml/itemProps4.xml><?xml version="1.0" encoding="utf-8"?>
<ds:datastoreItem xmlns:ds="http://schemas.openxmlformats.org/officeDocument/2006/customXml" ds:itemID="{54E4ECD0-5730-4CBC-B5C8-CDD180BD053A}">
  <ds:schemaRefs/>
</ds:datastoreItem>
</file>

<file path=customXml/itemProps5.xml><?xml version="1.0" encoding="utf-8"?>
<ds:datastoreItem xmlns:ds="http://schemas.openxmlformats.org/officeDocument/2006/customXml" ds:itemID="{E714D73B-064F-4FC2-AD89-143579607756}">
  <ds:schemaRefs/>
</ds:datastoreItem>
</file>

<file path=customXml/itemProps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7.xml><?xml version="1.0" encoding="utf-8"?>
<ds:datastoreItem xmlns:ds="http://schemas.openxmlformats.org/officeDocument/2006/customXml" ds:itemID="{BEAFDBBE-0F51-4017-B707-8386C7FBABFD}">
  <ds:schemaRefs/>
</ds:datastoreItem>
</file>

<file path=customXml/itemProps8.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9.xml><?xml version="1.0" encoding="utf-8"?>
<ds:datastoreItem xmlns:ds="http://schemas.openxmlformats.org/officeDocument/2006/customXml" ds:itemID="{0D4A98D7-A056-4A12-A949-9E2EE5A35FE4}">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9</TotalTime>
  <Pages>3</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5856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4</cp:revision>
  <cp:lastPrinted>2015-12-22T16:01:00Z</cp:lastPrinted>
  <dcterms:created xsi:type="dcterms:W3CDTF">2021-01-19T17:00:00Z</dcterms:created>
  <dcterms:modified xsi:type="dcterms:W3CDTF">2021-01-19T17:09:00Z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