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68AE086" w:rsidR="00423054" w:rsidRPr="00E50346" w:rsidRDefault="00055002" w:rsidP="00D6051F">
      <w:pPr>
        <w:pStyle w:val="Heading"/>
      </w:pPr>
      <w:r>
        <w:t>Sending Out an SOS: Updates in the Management of Sinusoidal Obstructive Syndrome</w:t>
      </w:r>
    </w:p>
    <w:p w14:paraId="0D0DC3CD" w14:textId="6A21D84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55002">
        <w:rPr>
          <w:color w:val="595959" w:themeColor="text1" w:themeTint="A6"/>
        </w:rPr>
        <w:t>January 7, 2021</w:t>
      </w:r>
    </w:p>
    <w:p w14:paraId="641D3E3A" w14:textId="2F82E35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55002">
        <w:rPr>
          <w:color w:val="595959" w:themeColor="text1" w:themeTint="A6"/>
        </w:rPr>
        <w:t>Bailey Wise,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915681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0542A">
        <w:rPr>
          <w:rFonts w:cs="Arial"/>
          <w:b/>
          <w:color w:val="595959" w:themeColor="text1" w:themeTint="A6"/>
          <w:szCs w:val="20"/>
        </w:rPr>
        <w:t>February 24,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5BD5E9D4" w:rsidR="008730EB" w:rsidRPr="008730EB" w:rsidRDefault="0010542A"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3B831B93" w:rsidR="0035174D" w:rsidRPr="00145C63" w:rsidRDefault="0010542A"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the epidemiology and pathogenesis of sinusoidal obstructive syndrome</w:t>
      </w:r>
    </w:p>
    <w:p w14:paraId="193176A5" w14:textId="1943BAAB" w:rsidR="004A294A" w:rsidRPr="00145C63" w:rsidRDefault="0010542A"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risk factors associated with the development of sinusoidal obstructive syndrome</w:t>
      </w:r>
    </w:p>
    <w:p w14:paraId="19A14A12" w14:textId="1C8BD7D1" w:rsidR="004A294A" w:rsidRPr="00145C63" w:rsidRDefault="0010542A"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Evaluate revised diagnostic criteria and grading classification for sinusoidal obstructive syndrome</w:t>
      </w:r>
    </w:p>
    <w:p w14:paraId="5BA35BDF" w14:textId="0C23E2AD" w:rsidR="0013180C" w:rsidRDefault="0010542A" w:rsidP="0013180C">
      <w:pPr>
        <w:pStyle w:val="ListParagraph"/>
        <w:numPr>
          <w:ilvl w:val="0"/>
          <w:numId w:val="40"/>
        </w:numPr>
        <w:ind w:left="360"/>
        <w:rPr>
          <w:color w:val="595959" w:themeColor="text1" w:themeTint="A6"/>
        </w:rPr>
      </w:pPr>
      <w:r>
        <w:rPr>
          <w:color w:val="595959" w:themeColor="text1" w:themeTint="A6"/>
        </w:rPr>
        <w:t>Summarize the literature on the use of different prophylactic and therapeutic modalities for sinusoidal obstructive syndrome</w:t>
      </w:r>
    </w:p>
    <w:p w14:paraId="57BBC21D" w14:textId="5912C660" w:rsidR="0010542A" w:rsidRDefault="0010542A" w:rsidP="0010542A"/>
    <w:p w14:paraId="405123AC" w14:textId="77777777" w:rsidR="0010542A" w:rsidRPr="0010542A" w:rsidRDefault="0010542A" w:rsidP="0010542A"/>
    <w:p w14:paraId="250850DB" w14:textId="77777777" w:rsidR="001449C2" w:rsidRPr="008730EB" w:rsidRDefault="001449C2" w:rsidP="001449C2">
      <w:pPr>
        <w:spacing w:after="120"/>
        <w:rPr>
          <w:rFonts w:cs="Arial"/>
          <w:b/>
          <w:color w:val="01ADAB"/>
          <w:sz w:val="24"/>
        </w:rPr>
      </w:pPr>
      <w:r>
        <w:rPr>
          <w:rFonts w:cs="Arial"/>
          <w:b/>
          <w:color w:val="01ADAB"/>
          <w:sz w:val="24"/>
        </w:rPr>
        <w:lastRenderedPageBreak/>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60C84E85" w14:textId="77777777" w:rsidR="0010542A" w:rsidRPr="0010542A" w:rsidRDefault="0010542A" w:rsidP="0010542A">
      <w:pPr>
        <w:pStyle w:val="ListParagraph"/>
        <w:numPr>
          <w:ilvl w:val="0"/>
          <w:numId w:val="46"/>
        </w:numPr>
        <w:ind w:left="360"/>
        <w:rPr>
          <w:rFonts w:eastAsia="Calibri" w:cs="Arial"/>
          <w:color w:val="595959" w:themeColor="text1" w:themeTint="A6"/>
          <w:szCs w:val="20"/>
        </w:rPr>
      </w:pPr>
      <w:r w:rsidRPr="0010542A">
        <w:rPr>
          <w:rFonts w:eastAsia="Calibri" w:cs="Arial"/>
          <w:color w:val="595959" w:themeColor="text1" w:themeTint="A6"/>
          <w:szCs w:val="20"/>
        </w:rPr>
        <w:t>Recognize the brand/generic names of the agents used in the treatment and prevention of sinusoidal obstructive syndrome</w:t>
      </w:r>
    </w:p>
    <w:p w14:paraId="7F7938AD" w14:textId="17A339D4" w:rsidR="0010542A" w:rsidRDefault="0010542A" w:rsidP="0010542A">
      <w:pPr>
        <w:pStyle w:val="ListParagraph"/>
        <w:numPr>
          <w:ilvl w:val="0"/>
          <w:numId w:val="46"/>
        </w:numPr>
        <w:ind w:left="360"/>
        <w:rPr>
          <w:rFonts w:eastAsia="Calibri" w:cs="Arial"/>
          <w:color w:val="595959" w:themeColor="text1" w:themeTint="A6"/>
          <w:szCs w:val="20"/>
        </w:rPr>
      </w:pPr>
      <w:r w:rsidRPr="0010542A">
        <w:rPr>
          <w:rFonts w:eastAsia="Calibri" w:cs="Arial"/>
          <w:color w:val="595959" w:themeColor="text1" w:themeTint="A6"/>
          <w:szCs w:val="20"/>
        </w:rPr>
        <w:t>Review specific storage and stability requirements of the pharmacological preparations used to manage sinusoidal obstructive syndrome</w:t>
      </w:r>
    </w:p>
    <w:p w14:paraId="6BEE3C40" w14:textId="77777777" w:rsidR="0010542A" w:rsidRPr="0010542A" w:rsidRDefault="0010542A" w:rsidP="0010542A"/>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51120070"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10542A">
        <w:rPr>
          <w:rFonts w:cs="Arial"/>
          <w:color w:val="595959" w:themeColor="text1" w:themeTint="A6"/>
        </w:rPr>
        <w:t xml:space="preserve"> 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F85B73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2E6C86">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D72E9C">
        <w:rPr>
          <w:rFonts w:cs="Arial"/>
          <w:color w:val="595959" w:themeColor="text1" w:themeTint="A6"/>
        </w:rPr>
        <w:t>1</w:t>
      </w:r>
      <w:r w:rsidRPr="00145C63">
        <w:rPr>
          <w:rFonts w:cs="Arial"/>
          <w:color w:val="595959" w:themeColor="text1" w:themeTint="A6"/>
        </w:rPr>
        <w:t>-</w:t>
      </w:r>
      <w:r w:rsidR="00D72E9C">
        <w:rPr>
          <w:rFonts w:cs="Arial"/>
          <w:color w:val="595959" w:themeColor="text1" w:themeTint="A6"/>
        </w:rPr>
        <w:t>06</w:t>
      </w:r>
      <w:r w:rsidR="00970F65">
        <w:rPr>
          <w:rFonts w:cs="Arial"/>
          <w:color w:val="595959" w:themeColor="text1" w:themeTint="A6"/>
        </w:rPr>
        <w:t>9</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457C5F0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2E6C86">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D72E9C">
        <w:rPr>
          <w:rFonts w:cs="Arial"/>
          <w:color w:val="595959" w:themeColor="text1" w:themeTint="A6"/>
        </w:rPr>
        <w:t>1</w:t>
      </w:r>
      <w:r w:rsidRPr="00145C63">
        <w:rPr>
          <w:rFonts w:cs="Arial"/>
          <w:color w:val="595959" w:themeColor="text1" w:themeTint="A6"/>
        </w:rPr>
        <w:t>-0</w:t>
      </w:r>
      <w:r w:rsidR="00D72E9C">
        <w:rPr>
          <w:rFonts w:cs="Arial"/>
          <w:color w:val="595959" w:themeColor="text1" w:themeTint="A6"/>
        </w:rPr>
        <w:t>6</w:t>
      </w:r>
      <w:r w:rsidR="00970F65">
        <w:rPr>
          <w:rFonts w:cs="Arial"/>
          <w:color w:val="595959" w:themeColor="text1" w:themeTint="A6"/>
        </w:rPr>
        <w:t>9</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3ADA848F" w14:textId="77777777" w:rsidR="0013180C" w:rsidRPr="00145C63" w:rsidRDefault="0013180C" w:rsidP="0013180C">
      <w:pPr>
        <w:pStyle w:val="Heading4"/>
        <w:rPr>
          <w:color w:val="595959" w:themeColor="text1" w:themeTint="A6"/>
          <w:sz w:val="1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3AA7B39C" w:rsidR="00CB449D"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4EA2493A" w14:textId="7BFFD984" w:rsidR="0010542A" w:rsidRPr="00D3796A" w:rsidRDefault="0010542A" w:rsidP="00CB449D">
      <w:pPr>
        <w:spacing w:before="120"/>
        <w:rPr>
          <w:rFonts w:cs="Arial"/>
          <w:bCs/>
          <w:color w:val="595959" w:themeColor="text1" w:themeTint="A6"/>
          <w:szCs w:val="20"/>
        </w:rPr>
      </w:pPr>
      <w:r>
        <w:rPr>
          <w:rFonts w:cs="Arial"/>
          <w:bCs/>
          <w:color w:val="595959" w:themeColor="text1" w:themeTint="A6"/>
          <w:szCs w:val="20"/>
        </w:rPr>
        <w:t>The presenter will discuss off-label use of drugs</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26C088F3" w:rsidR="00CB449D" w:rsidRPr="00145C63" w:rsidRDefault="0010542A" w:rsidP="00DD68D3">
      <w:pPr>
        <w:rPr>
          <w:b/>
          <w:color w:val="595959" w:themeColor="text1" w:themeTint="A6"/>
        </w:rPr>
      </w:pPr>
      <w:r>
        <w:rPr>
          <w:b/>
          <w:color w:val="595959" w:themeColor="text1" w:themeTint="A6"/>
        </w:rPr>
        <w:t>Jessica Foy, PharmD, BCOP</w:t>
      </w:r>
    </w:p>
    <w:p w14:paraId="529DCE50" w14:textId="57023624" w:rsidR="00CB449D" w:rsidRPr="00145C63" w:rsidRDefault="0010542A" w:rsidP="00DD68D3">
      <w:pPr>
        <w:rPr>
          <w:color w:val="595959" w:themeColor="text1" w:themeTint="A6"/>
        </w:rPr>
      </w:pPr>
      <w:r>
        <w:rPr>
          <w:color w:val="595959" w:themeColor="text1" w:themeTint="A6"/>
        </w:rPr>
        <w:t>Clinical Oncology Pharmacist</w:t>
      </w:r>
    </w:p>
    <w:p w14:paraId="0B00B718" w14:textId="58D66F09" w:rsidR="00CB449D" w:rsidRPr="00145C63" w:rsidRDefault="0010542A" w:rsidP="00DD68D3">
      <w:pPr>
        <w:rPr>
          <w:color w:val="595959" w:themeColor="text1" w:themeTint="A6"/>
        </w:rPr>
      </w:pPr>
      <w:r>
        <w:rPr>
          <w:color w:val="595959" w:themeColor="text1" w:themeTint="A6"/>
        </w:rPr>
        <w:t>Ochsner Medical Center</w:t>
      </w:r>
    </w:p>
    <w:p w14:paraId="357CDA01" w14:textId="77777777" w:rsidR="00CB449D" w:rsidRPr="00CB449D" w:rsidRDefault="00CB449D" w:rsidP="00DD68D3">
      <w:pPr>
        <w:rPr>
          <w:color w:val="7F7F7F" w:themeColor="text1" w:themeTint="80"/>
        </w:rPr>
      </w:pPr>
    </w:p>
    <w:p w14:paraId="11C41A61" w14:textId="0E1EBB56" w:rsidR="00CB449D" w:rsidRPr="00145C63" w:rsidRDefault="0010542A" w:rsidP="00DD68D3">
      <w:pPr>
        <w:rPr>
          <w:b/>
          <w:color w:val="595959" w:themeColor="text1" w:themeTint="A6"/>
        </w:rPr>
      </w:pPr>
      <w:r>
        <w:rPr>
          <w:b/>
          <w:color w:val="595959" w:themeColor="text1" w:themeTint="A6"/>
        </w:rPr>
        <w:t>Bailey Wise, PharmD, BCPS</w:t>
      </w:r>
    </w:p>
    <w:p w14:paraId="2B34AFB1" w14:textId="500852F8" w:rsidR="00CB449D" w:rsidRPr="00145C63" w:rsidRDefault="0010542A" w:rsidP="00DD68D3">
      <w:pPr>
        <w:rPr>
          <w:color w:val="595959" w:themeColor="text1" w:themeTint="A6"/>
        </w:rPr>
      </w:pPr>
      <w:r>
        <w:rPr>
          <w:color w:val="595959" w:themeColor="text1" w:themeTint="A6"/>
        </w:rPr>
        <w:t>Clinical Pharmacist</w:t>
      </w:r>
    </w:p>
    <w:p w14:paraId="10450DFE" w14:textId="77777777" w:rsidR="0010542A" w:rsidRPr="00145C63" w:rsidRDefault="0010542A" w:rsidP="0010542A">
      <w:pPr>
        <w:rPr>
          <w:color w:val="595959" w:themeColor="text1" w:themeTint="A6"/>
        </w:rPr>
      </w:pPr>
      <w:r>
        <w:rPr>
          <w:color w:val="595959" w:themeColor="text1" w:themeTint="A6"/>
        </w:rPr>
        <w:t>Ochsner Medical Center</w:t>
      </w:r>
    </w:p>
    <w:p w14:paraId="2E4B3623" w14:textId="77777777" w:rsidR="00CB449D" w:rsidRPr="00145C63" w:rsidRDefault="00CB449D" w:rsidP="00DD68D3">
      <w:pPr>
        <w:rPr>
          <w:color w:val="595959" w:themeColor="text1" w:themeTint="A6"/>
        </w:rPr>
      </w:pPr>
    </w:p>
    <w:p w14:paraId="30F378A1" w14:textId="44368A29"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2FBD7ED2" w14:textId="77777777" w:rsidR="00D72E9C" w:rsidRPr="00266041" w:rsidRDefault="00D72E9C" w:rsidP="00D72E9C">
      <w:pPr>
        <w:rPr>
          <w:rFonts w:cs="Arial"/>
          <w:b/>
          <w:color w:val="595959" w:themeColor="text1" w:themeTint="A6"/>
        </w:rPr>
      </w:pPr>
      <w:r w:rsidRPr="00266041">
        <w:rPr>
          <w:rFonts w:cs="Arial"/>
          <w:b/>
          <w:color w:val="595959" w:themeColor="text1" w:themeTint="A6"/>
          <w:szCs w:val="20"/>
        </w:rPr>
        <w:t>James Lichauer, PharmD, BCPS, FASHP</w:t>
      </w:r>
    </w:p>
    <w:p w14:paraId="13B70613" w14:textId="77777777" w:rsidR="00D72E9C" w:rsidRPr="00266041" w:rsidRDefault="00D72E9C" w:rsidP="00D72E9C">
      <w:pPr>
        <w:rPr>
          <w:rFonts w:cs="Arial"/>
          <w:color w:val="595959" w:themeColor="text1" w:themeTint="A6"/>
        </w:rPr>
      </w:pPr>
      <w:r w:rsidRPr="00266041">
        <w:rPr>
          <w:rFonts w:cs="Arial"/>
          <w:color w:val="595959" w:themeColor="text1" w:themeTint="A6"/>
        </w:rPr>
        <w:t>PI Program Director, Pharmacy</w:t>
      </w:r>
    </w:p>
    <w:p w14:paraId="6F70BAD3" w14:textId="77777777" w:rsidR="00D72E9C" w:rsidRDefault="00D72E9C" w:rsidP="00D72E9C">
      <w:pPr>
        <w:rPr>
          <w:rFonts w:cs="Arial"/>
          <w:color w:val="595959" w:themeColor="text1" w:themeTint="A6"/>
        </w:rPr>
      </w:pPr>
      <w:r w:rsidRPr="00266041">
        <w:rPr>
          <w:rFonts w:cs="Arial"/>
          <w:color w:val="595959" w:themeColor="text1" w:themeTint="A6"/>
        </w:rPr>
        <w:t>Vizient</w:t>
      </w:r>
    </w:p>
    <w:p w14:paraId="21C46B0A" w14:textId="77777777" w:rsidR="00CB449D" w:rsidRPr="00145C63" w:rsidRDefault="00CB449D" w:rsidP="00DD68D3">
      <w:pPr>
        <w:rPr>
          <w:color w:val="595959" w:themeColor="text1" w:themeTint="A6"/>
        </w:rPr>
      </w:pPr>
    </w:p>
    <w:p w14:paraId="7E02880C" w14:textId="7B5F2C45"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7A73F9BB" w:rsidR="00CB449D" w:rsidRPr="00145C63" w:rsidRDefault="0010542A" w:rsidP="00DD68D3">
      <w:pPr>
        <w:rPr>
          <w:b/>
          <w:color w:val="595959" w:themeColor="text1" w:themeTint="A6"/>
        </w:rPr>
      </w:pPr>
      <w:r>
        <w:rPr>
          <w:b/>
          <w:color w:val="595959" w:themeColor="text1" w:themeTint="A6"/>
        </w:rPr>
        <w:t>Iryna Mialik, PharmD</w:t>
      </w:r>
    </w:p>
    <w:p w14:paraId="69E43666" w14:textId="002B785E" w:rsidR="00CB449D" w:rsidRPr="00145C63" w:rsidRDefault="0010542A" w:rsidP="00DD68D3">
      <w:pPr>
        <w:rPr>
          <w:color w:val="595959" w:themeColor="text1" w:themeTint="A6"/>
        </w:rPr>
      </w:pPr>
      <w:r>
        <w:rPr>
          <w:color w:val="595959" w:themeColor="text1" w:themeTint="A6"/>
        </w:rPr>
        <w:t>PGY1 Pharmacy Practice Resident</w:t>
      </w:r>
    </w:p>
    <w:p w14:paraId="1EB555A3" w14:textId="77777777" w:rsidR="0010542A" w:rsidRPr="00145C63" w:rsidRDefault="0010542A" w:rsidP="0010542A">
      <w:pPr>
        <w:rPr>
          <w:color w:val="595959" w:themeColor="text1" w:themeTint="A6"/>
        </w:rPr>
      </w:pPr>
      <w:r>
        <w:rPr>
          <w:color w:val="595959" w:themeColor="text1" w:themeTint="A6"/>
        </w:rPr>
        <w:t>Ochsner Medical Center</w:t>
      </w:r>
    </w:p>
    <w:p w14:paraId="1056CB21" w14:textId="77777777" w:rsidR="00CB449D" w:rsidRPr="00145C63" w:rsidRDefault="00CB449D"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F60591D"/>
    <w:multiLevelType w:val="hybridMultilevel"/>
    <w:tmpl w:val="D3D89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5002"/>
    <w:rsid w:val="00056A0F"/>
    <w:rsid w:val="00060A68"/>
    <w:rsid w:val="00060DE0"/>
    <w:rsid w:val="00065834"/>
    <w:rsid w:val="000765B6"/>
    <w:rsid w:val="00095B16"/>
    <w:rsid w:val="000970CD"/>
    <w:rsid w:val="000F1401"/>
    <w:rsid w:val="00104CA4"/>
    <w:rsid w:val="0010542A"/>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2E6C8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D6731"/>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0F65"/>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43620"/>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72E9C"/>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DocPartTree/>
</file>

<file path=customXml/item12.xml><?xml version="1.0" encoding="utf-8"?>
<SourceDataModel Name="AD_HOC" TargetDataSourceId="80be7e5f-6e71-448c-9228-23264555308c"/>
</file>

<file path=customXml/item13.xml><?xml version="1.0" encoding="utf-8"?>
<AllWordPDs>
</AllWordPDs>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VariableUsageMapping/>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AllMetadata/>
</file>

<file path=customXml/item25.xml><?xml version="1.0" encoding="utf-8"?>
<SourceDataModel Name="System" TargetDataSourceId="00b80028-d226-4a39-9a19-6787589aad19"/>
</file>

<file path=customXml/item26.xml><?xml version="1.0" encoding="utf-8"?>
<AllExternalAdhocVariableMappings/>
</file>

<file path=customXml/item27.xml><?xml version="1.0" encoding="utf-8"?>
<VariableListDefinition name="System" displayName="System" id="dc9731b4-d0d2-4ed5-b20d-434d69de1706" isdomainofvalue="False" dataSourceId="00b80028-d226-4a39-9a19-6787589aad19"/>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VariableListDefinition name="Computed" displayName="Computed" id="69155e26-4760-488b-ab4c-bb15b0f8b2a2" isdomainofvalue="False" dataSourceId="87651697-ca1f-4d80-9f69-bb743e325714"/>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VariableListDefinition name="AD_HOC" displayName="AD_HOC" id="9426ea6f-1b24-4683-bca3-85d71f6375fd" isdomainofvalue="False" dataSourceId="80be7e5f-6e71-448c-9228-23264555308c"/>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80CE4447-D1BD-469E-BD8B-B31A4C9A896F}">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2020-12-11T14:44:00Z</dcterms:created>
  <dcterms:modified xsi:type="dcterms:W3CDTF">2020-12-11T15:37:00Z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