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051978" w:rsidP="00D6051F">
      <w:pPr>
        <w:pStyle w:val="Heading"/>
      </w:pPr>
      <w:r>
        <w:t>Reversible Cerebral Vasoconstriction Syndrome – What is it, what causes it, how do we treat it?</w:t>
      </w:r>
    </w:p>
    <w:p w:rsidR="00423054" w:rsidRDefault="00155E54" w:rsidP="004A294A">
      <w:pPr>
        <w:pStyle w:val="BodyText1"/>
      </w:pPr>
      <w:r>
        <w:t>Activity date</w:t>
      </w:r>
      <w:r w:rsidR="0013180C">
        <w:t xml:space="preserve">: </w:t>
      </w:r>
      <w:r w:rsidR="009822A9">
        <w:t>December 3</w:t>
      </w:r>
      <w:r w:rsidR="00AA0D0D">
        <w:t>0</w:t>
      </w:r>
      <w:r w:rsidR="00254088">
        <w:t>, 2019</w:t>
      </w:r>
    </w:p>
    <w:p w:rsidR="00EA13B8" w:rsidRDefault="0013180C" w:rsidP="00423054">
      <w:pPr>
        <w:pStyle w:val="BodyText1"/>
      </w:pPr>
      <w:r>
        <w:t xml:space="preserve">Course director: </w:t>
      </w:r>
      <w:r w:rsidR="00051978">
        <w:t>Mohamed Elmarakbi</w:t>
      </w:r>
      <w:r w:rsidR="00254088">
        <w:t xml:space="preserve">, </w:t>
      </w:r>
      <w:proofErr w:type="spellStart"/>
      <w:r w:rsidR="00254088">
        <w:t>PharmD</w:t>
      </w:r>
      <w:proofErr w:type="spellEnd"/>
      <w:r w:rsidR="00051978">
        <w:t>, BPS</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Pr="009822A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AA0D0D">
        <w:rPr>
          <w:rFonts w:cs="Arial"/>
          <w:b/>
          <w:color w:val="696969"/>
          <w:szCs w:val="20"/>
        </w:rPr>
        <w:t>February 12</w:t>
      </w:r>
      <w:bookmarkStart w:id="0" w:name="_GoBack"/>
      <w:bookmarkEnd w:id="0"/>
      <w:r w:rsidR="009822A9" w:rsidRPr="009822A9">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726F1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BC3FDA" w:rsidRDefault="00A20B03"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epidemiology, clinical features, and diagnostic criteria associated with reversible cerebral vasoconstrictive syndrome</w:t>
      </w:r>
    </w:p>
    <w:p w:rsidR="004A294A" w:rsidRPr="00BC3FDA" w:rsidRDefault="00A20B03"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participants, neuroimaging and pathophysiology related to reversible cerebral vasoconstrictive syndrome</w:t>
      </w:r>
    </w:p>
    <w:p w:rsidR="00A20B03" w:rsidRDefault="00A20B03" w:rsidP="00A20B03">
      <w:pPr>
        <w:pStyle w:val="ListParagraph"/>
        <w:numPr>
          <w:ilvl w:val="0"/>
          <w:numId w:val="40"/>
        </w:numPr>
        <w:ind w:left="360"/>
        <w:rPr>
          <w:color w:val="595959" w:themeColor="text1" w:themeTint="A6"/>
        </w:rPr>
      </w:pPr>
      <w:r>
        <w:rPr>
          <w:rFonts w:asciiTheme="minorHAnsi" w:eastAsia="Calibri" w:hAnsiTheme="minorHAnsi" w:cstheme="minorHAnsi"/>
          <w:color w:val="696969" w:themeColor="text2"/>
          <w:szCs w:val="20"/>
        </w:rPr>
        <w:t>Describe treatment and prevention measures associated with reversible cerebral vasoconstrictive syndrome</w:t>
      </w:r>
      <w:r>
        <w:rPr>
          <w:color w:val="595959" w:themeColor="text1" w:themeTint="A6"/>
        </w:rPr>
        <w:t xml:space="preserve"> </w:t>
      </w:r>
    </w:p>
    <w:p w:rsidR="00A20B03" w:rsidRPr="00A20B03" w:rsidRDefault="00A20B03" w:rsidP="00A20B03">
      <w:pPr>
        <w:pStyle w:val="ListParagraph"/>
        <w:numPr>
          <w:ilvl w:val="0"/>
          <w:numId w:val="40"/>
        </w:numPr>
        <w:ind w:left="360"/>
        <w:rPr>
          <w:color w:val="595959" w:themeColor="text1" w:themeTint="A6"/>
        </w:rPr>
      </w:pPr>
      <w:r w:rsidRPr="00A20B03">
        <w:rPr>
          <w:rFonts w:asciiTheme="minorHAnsi" w:eastAsia="Calibri" w:hAnsiTheme="minorHAnsi" w:cstheme="minorHAnsi"/>
          <w:color w:val="696969" w:themeColor="text2"/>
          <w:szCs w:val="20"/>
        </w:rPr>
        <w:t>Review primary literature related to the management of reversible cerebral vasoconstrictive syndrome</w:t>
      </w:r>
      <w:r w:rsidRPr="00A20B03">
        <w:rPr>
          <w:rFonts w:cs="Arial"/>
          <w:b/>
          <w:color w:val="01ADAB"/>
          <w:sz w:val="24"/>
        </w:rPr>
        <w:t xml:space="preserve"> </w:t>
      </w:r>
    </w:p>
    <w:p w:rsidR="00A20B03" w:rsidRPr="00A20B03" w:rsidRDefault="00A20B03" w:rsidP="00A20B03">
      <w:pPr>
        <w:spacing w:after="120"/>
        <w:ind w:left="360"/>
        <w:rPr>
          <w:rFonts w:cs="Arial"/>
          <w:b/>
          <w:color w:val="01ADAB"/>
          <w:sz w:val="24"/>
        </w:rPr>
      </w:pPr>
    </w:p>
    <w:p w:rsidR="001449C2" w:rsidRPr="00A20B03" w:rsidRDefault="001449C2" w:rsidP="00A20B03">
      <w:pPr>
        <w:spacing w:after="120"/>
        <w:ind w:left="360"/>
        <w:rPr>
          <w:rFonts w:cs="Arial"/>
          <w:b/>
          <w:color w:val="01ADAB"/>
          <w:sz w:val="24"/>
        </w:rPr>
      </w:pPr>
      <w:r w:rsidRPr="00A20B03">
        <w:rPr>
          <w:rFonts w:cs="Arial"/>
          <w:b/>
          <w:color w:val="01ADAB"/>
          <w:sz w:val="24"/>
        </w:rPr>
        <w:lastRenderedPageBreak/>
        <w:t>Pharmac</w:t>
      </w:r>
      <w:r w:rsidR="00CD18C0" w:rsidRPr="00A20B03">
        <w:rPr>
          <w:rFonts w:cs="Arial"/>
          <w:b/>
          <w:color w:val="01ADAB"/>
          <w:sz w:val="24"/>
        </w:rPr>
        <w:t>y</w:t>
      </w:r>
      <w:r w:rsidR="004A294A" w:rsidRPr="00A20B03">
        <w:rPr>
          <w:rFonts w:cs="Arial"/>
          <w:b/>
          <w:color w:val="01ADAB"/>
          <w:sz w:val="24"/>
        </w:rPr>
        <w:t xml:space="preserve"> t</w:t>
      </w:r>
      <w:r w:rsidRPr="00A20B03">
        <w:rPr>
          <w:rFonts w:cs="Arial"/>
          <w:b/>
          <w:color w:val="01ADAB"/>
          <w:sz w:val="24"/>
        </w:rPr>
        <w:t xml:space="preserve">echnician </w:t>
      </w:r>
      <w:r w:rsidR="00B213B6" w:rsidRPr="00A20B03">
        <w:rPr>
          <w:rFonts w:cs="Arial"/>
          <w:b/>
          <w:color w:val="01ADAB"/>
          <w:sz w:val="24"/>
        </w:rPr>
        <w:t>l</w:t>
      </w:r>
      <w:r w:rsidRPr="00A20B03">
        <w:rPr>
          <w:rFonts w:cs="Arial"/>
          <w:b/>
          <w:color w:val="01ADAB"/>
          <w:sz w:val="24"/>
        </w:rPr>
        <w:t>earning objectives</w:t>
      </w:r>
    </w:p>
    <w:p w:rsidR="001C5041" w:rsidRPr="001C5041" w:rsidRDefault="001C5041" w:rsidP="0013180C">
      <w:pPr>
        <w:pStyle w:val="ListParagraph"/>
        <w:numPr>
          <w:ilvl w:val="0"/>
          <w:numId w:val="44"/>
        </w:numPr>
        <w:ind w:left="360"/>
        <w:rPr>
          <w:rFonts w:cs="Arial"/>
          <w:color w:val="595959" w:themeColor="text1" w:themeTint="A6"/>
          <w:szCs w:val="20"/>
        </w:rPr>
      </w:pPr>
      <w:r>
        <w:rPr>
          <w:rFonts w:asciiTheme="minorHAnsi" w:eastAsia="Calibri" w:hAnsiTheme="minorHAnsi" w:cstheme="minorHAnsi"/>
          <w:color w:val="696969" w:themeColor="text2"/>
          <w:szCs w:val="20"/>
        </w:rPr>
        <w:t>Recognize medications used for the treatment of reversible cerebral vasoconstrictive syndrome</w:t>
      </w:r>
      <w:r>
        <w:rPr>
          <w:rFonts w:eastAsia="Calibri" w:cs="Arial"/>
          <w:color w:val="595959" w:themeColor="text1" w:themeTint="A6"/>
          <w:szCs w:val="20"/>
        </w:rPr>
        <w:t xml:space="preserve"> </w:t>
      </w:r>
    </w:p>
    <w:p w:rsidR="0013180C" w:rsidRDefault="001C5041" w:rsidP="0013180C">
      <w:pPr>
        <w:pStyle w:val="ListParagraph"/>
        <w:numPr>
          <w:ilvl w:val="0"/>
          <w:numId w:val="44"/>
        </w:numPr>
        <w:ind w:left="360"/>
        <w:rPr>
          <w:rFonts w:asciiTheme="minorHAnsi" w:eastAsia="Calibri" w:hAnsiTheme="minorHAnsi" w:cstheme="minorHAnsi"/>
          <w:color w:val="696969" w:themeColor="text2"/>
          <w:szCs w:val="20"/>
        </w:rPr>
      </w:pPr>
      <w:r>
        <w:rPr>
          <w:rFonts w:asciiTheme="minorHAnsi" w:eastAsia="Calibri" w:hAnsiTheme="minorHAnsi" w:cstheme="minorHAnsi"/>
          <w:color w:val="696969" w:themeColor="text2"/>
          <w:szCs w:val="20"/>
        </w:rPr>
        <w:t>Describe the role of medications used for the treatment of reversible cerebral vasoconstrictive syndrome</w:t>
      </w:r>
    </w:p>
    <w:p w:rsidR="001C5041" w:rsidRPr="001C5041" w:rsidRDefault="001C5041" w:rsidP="001C5041"/>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9D6B3F" w:rsidRPr="00842927" w:rsidRDefault="009D6B3F" w:rsidP="009D6B3F">
      <w:pPr>
        <w:autoSpaceDE w:val="0"/>
        <w:autoSpaceDN w:val="0"/>
        <w:rPr>
          <w:rFonts w:cs="Arial"/>
          <w:color w:val="7F7F7F" w:themeColor="text1" w:themeTint="80"/>
        </w:rPr>
      </w:pPr>
      <w:r w:rsidRPr="00842927">
        <w:rPr>
          <w:rFonts w:cs="Arial"/>
          <w:color w:val="7F7F7F" w:themeColor="text1" w:themeTint="80"/>
        </w:rPr>
        <w:t>In support of improving patient care, this activity has been planned and implemented by Vizie</w:t>
      </w:r>
      <w:r>
        <w:rPr>
          <w:rFonts w:cs="Arial"/>
          <w:color w:val="7F7F7F" w:themeColor="text1" w:themeTint="80"/>
        </w:rPr>
        <w:t>nt</w:t>
      </w:r>
      <w:r w:rsidR="001C5041">
        <w:rPr>
          <w:rFonts w:cs="Arial"/>
          <w:color w:val="7F7F7F" w:themeColor="text1" w:themeTint="80"/>
        </w:rPr>
        <w:t xml:space="preserve">, Inc. and </w:t>
      </w:r>
      <w:proofErr w:type="spellStart"/>
      <w:r w:rsidR="001C5041">
        <w:rPr>
          <w:rFonts w:cs="Arial"/>
          <w:color w:val="7F7F7F" w:themeColor="text1" w:themeTint="80"/>
        </w:rPr>
        <w:t>ChristianaCare</w:t>
      </w:r>
      <w:proofErr w:type="spellEnd"/>
      <w:r w:rsidRPr="00842927">
        <w:rPr>
          <w:rFonts w:cs="Arial"/>
          <w:color w:val="7F7F7F" w:themeColor="text1" w:themeTint="8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sidR="00390036">
        <w:rPr>
          <w:rFonts w:cs="Arial"/>
          <w:color w:val="696969"/>
        </w:rPr>
        <w:t>JA0006103-9999</w:t>
      </w:r>
      <w:r>
        <w:rPr>
          <w:rFonts w:cs="Arial"/>
          <w:color w:val="696969"/>
        </w:rPr>
        <w:t>-19-</w:t>
      </w:r>
      <w:r w:rsidR="00726F1C">
        <w:rPr>
          <w:rFonts w:cs="Arial"/>
          <w:color w:val="696969"/>
        </w:rPr>
        <w:t>2</w:t>
      </w:r>
      <w:r w:rsidR="00105FDF">
        <w:rPr>
          <w:rFonts w:cs="Arial"/>
          <w:color w:val="696969"/>
        </w:rPr>
        <w:t>2</w:t>
      </w:r>
      <w:r w:rsidR="00B853C1">
        <w:rPr>
          <w:rFonts w:cs="Arial"/>
          <w:color w:val="696969"/>
        </w:rPr>
        <w:t>9</w:t>
      </w:r>
      <w:r>
        <w:rPr>
          <w:rFonts w:cs="Arial"/>
          <w:color w:val="696969"/>
        </w:rPr>
        <w:t>-L0</w:t>
      </w:r>
      <w:r w:rsidR="00726F1C">
        <w:rPr>
          <w:rFonts w:cs="Arial"/>
          <w:color w:val="696969"/>
        </w:rPr>
        <w:t>1</w:t>
      </w:r>
      <w:r>
        <w:rPr>
          <w:rFonts w:cs="Arial"/>
          <w:color w:val="696969"/>
        </w:rPr>
        <w:t>-P</w:t>
      </w:r>
    </w:p>
    <w:p w:rsidR="00C9605F" w:rsidRDefault="00C9605F" w:rsidP="00C9605F">
      <w:pPr>
        <w:rPr>
          <w:rFonts w:cs="Arial"/>
          <w:color w:val="696969"/>
        </w:rPr>
      </w:pPr>
      <w:r w:rsidRPr="008730EB">
        <w:rPr>
          <w:rFonts w:cs="Arial"/>
          <w:color w:val="696969"/>
        </w:rPr>
        <w:t xml:space="preserve">Universal Activity Number: </w:t>
      </w:r>
      <w:r w:rsidR="00390036">
        <w:rPr>
          <w:rFonts w:cs="Arial"/>
          <w:color w:val="696969"/>
        </w:rPr>
        <w:t>JA0006103-9999</w:t>
      </w:r>
      <w:r>
        <w:rPr>
          <w:rFonts w:cs="Arial"/>
          <w:color w:val="696969"/>
        </w:rPr>
        <w:t>-19-</w:t>
      </w:r>
      <w:r w:rsidR="00726F1C">
        <w:rPr>
          <w:rFonts w:cs="Arial"/>
          <w:color w:val="696969"/>
        </w:rPr>
        <w:t>2</w:t>
      </w:r>
      <w:r w:rsidR="00105FDF">
        <w:rPr>
          <w:rFonts w:cs="Arial"/>
          <w:color w:val="696969"/>
        </w:rPr>
        <w:t>2</w:t>
      </w:r>
      <w:r w:rsidR="00B853C1">
        <w:rPr>
          <w:rFonts w:cs="Arial"/>
          <w:color w:val="696969"/>
        </w:rPr>
        <w:t>9</w:t>
      </w:r>
      <w:r>
        <w:rPr>
          <w:rFonts w:cs="Arial"/>
          <w:color w:val="696969"/>
        </w:rPr>
        <w:t>-L0</w:t>
      </w:r>
      <w:r w:rsidR="00726F1C">
        <w:rPr>
          <w:rFonts w:cs="Arial"/>
          <w:color w:val="696969"/>
        </w:rPr>
        <w:t>1</w:t>
      </w:r>
      <w:r>
        <w:rPr>
          <w:rFonts w:cs="Arial"/>
          <w:color w:val="696969"/>
        </w:rPr>
        <w:t>-T</w:t>
      </w:r>
    </w:p>
    <w:p w:rsidR="00C9605F" w:rsidRPr="008730EB" w:rsidRDefault="00C9605F" w:rsidP="00C9605F">
      <w:pPr>
        <w:pStyle w:val="Heading3"/>
        <w:rPr>
          <w:rFonts w:cs="Arial"/>
          <w:color w:val="696969"/>
        </w:rPr>
      </w:pPr>
      <w:r w:rsidRPr="008730EB">
        <w:rPr>
          <w:rFonts w:cs="Arial"/>
          <w:color w:val="696969"/>
        </w:rPr>
        <w:t>CEU</w:t>
      </w:r>
    </w:p>
    <w:p w:rsidR="00C9605F" w:rsidRDefault="00C9605F" w:rsidP="00C9605F">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B853C1" w:rsidRDefault="00B853C1" w:rsidP="008730EB">
      <w:pPr>
        <w:tabs>
          <w:tab w:val="left" w:pos="1440"/>
          <w:tab w:val="left" w:pos="2880"/>
          <w:tab w:val="left" w:pos="4320"/>
          <w:tab w:val="left" w:pos="5760"/>
          <w:tab w:val="left" w:pos="7920"/>
        </w:tabs>
        <w:rPr>
          <w:rFonts w:eastAsia="Times" w:cs="Arial"/>
          <w:color w:val="696969"/>
          <w:szCs w:val="20"/>
        </w:rPr>
      </w:pP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5F53FC">
        <w:rPr>
          <w:b w:val="0"/>
          <w:snapToGrid w:val="0"/>
          <w:color w:val="696969"/>
        </w:rPr>
        <w:t>presenter</w:t>
      </w:r>
      <w:r w:rsidRPr="008730EB">
        <w:rPr>
          <w:b w:val="0"/>
          <w:snapToGrid w:val="0"/>
          <w:color w:val="696969"/>
        </w:rPr>
        <w:t xml:space="preserve"> has completed a Disclosure of Relevant Financial Relationships form.</w:t>
      </w:r>
    </w:p>
    <w:p w:rsidR="004B0F88" w:rsidRDefault="004B0F88" w:rsidP="004B0F88"/>
    <w:p w:rsidR="00CB449D" w:rsidRDefault="00CB449D" w:rsidP="00CB449D">
      <w:pPr>
        <w:spacing w:before="120"/>
        <w:rPr>
          <w:rFonts w:cs="Arial"/>
          <w:bCs/>
          <w:color w:val="696969"/>
          <w:sz w:val="18"/>
          <w:szCs w:val="18"/>
        </w:rPr>
      </w:pPr>
      <w:r>
        <w:rPr>
          <w:rFonts w:cs="Arial"/>
          <w:bCs/>
          <w:color w:val="696969"/>
          <w:sz w:val="18"/>
          <w:szCs w:val="18"/>
        </w:rPr>
        <w:t xml:space="preserve">Relevant financial relationships: Planning committee members and </w:t>
      </w:r>
      <w:r w:rsidR="005F53FC">
        <w:rPr>
          <w:rFonts w:cs="Arial"/>
          <w:bCs/>
          <w:color w:val="696969"/>
          <w:sz w:val="18"/>
          <w:szCs w:val="18"/>
        </w:rPr>
        <w:t>presenters</w:t>
      </w:r>
      <w:r>
        <w:rPr>
          <w:rFonts w:cs="Arial"/>
          <w:bCs/>
          <w:color w:val="696969"/>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726F1C" w:rsidRDefault="001C5041" w:rsidP="00CB449D">
      <w:pPr>
        <w:rPr>
          <w:b/>
          <w:color w:val="7F7F7F" w:themeColor="text1" w:themeTint="80"/>
        </w:rPr>
      </w:pPr>
      <w:proofErr w:type="spellStart"/>
      <w:r>
        <w:rPr>
          <w:b/>
          <w:color w:val="7F7F7F" w:themeColor="text1" w:themeTint="80"/>
        </w:rPr>
        <w:t>Tep</w:t>
      </w:r>
      <w:proofErr w:type="spellEnd"/>
      <w:r>
        <w:rPr>
          <w:b/>
          <w:color w:val="7F7F7F" w:themeColor="text1" w:themeTint="80"/>
        </w:rPr>
        <w:t xml:space="preserve"> Kang</w:t>
      </w:r>
      <w:r w:rsidR="00726F1C" w:rsidRPr="00726F1C">
        <w:rPr>
          <w:b/>
          <w:color w:val="7F7F7F" w:themeColor="text1" w:themeTint="80"/>
        </w:rPr>
        <w:t xml:space="preserve">, </w:t>
      </w:r>
      <w:proofErr w:type="spellStart"/>
      <w:r w:rsidR="00726F1C" w:rsidRPr="00726F1C">
        <w:rPr>
          <w:b/>
          <w:color w:val="7F7F7F" w:themeColor="text1" w:themeTint="80"/>
        </w:rPr>
        <w:t>PharmD</w:t>
      </w:r>
      <w:proofErr w:type="spellEnd"/>
      <w:r w:rsidR="00726F1C" w:rsidRPr="00726F1C">
        <w:rPr>
          <w:b/>
          <w:color w:val="7F7F7F" w:themeColor="text1" w:themeTint="80"/>
        </w:rPr>
        <w:t>, BCPS</w:t>
      </w:r>
    </w:p>
    <w:p w:rsidR="00726F1C" w:rsidRPr="00726F1C" w:rsidRDefault="001C5041" w:rsidP="00CB449D">
      <w:pPr>
        <w:rPr>
          <w:color w:val="7F7F7F" w:themeColor="text1" w:themeTint="80"/>
        </w:rPr>
      </w:pPr>
      <w:r>
        <w:rPr>
          <w:color w:val="7F7F7F" w:themeColor="text1" w:themeTint="80"/>
        </w:rPr>
        <w:t>Clinical Pharmacy Specialist, Surgical Critical Care</w:t>
      </w:r>
    </w:p>
    <w:p w:rsidR="00726F1C" w:rsidRPr="00726F1C" w:rsidRDefault="001C5041" w:rsidP="00CB449D">
      <w:pPr>
        <w:rPr>
          <w:color w:val="7F7F7F" w:themeColor="text1" w:themeTint="80"/>
        </w:rPr>
      </w:pPr>
      <w:proofErr w:type="spellStart"/>
      <w:r>
        <w:rPr>
          <w:color w:val="7F7F7F" w:themeColor="text1" w:themeTint="80"/>
        </w:rPr>
        <w:t>ChristianaCare</w:t>
      </w:r>
      <w:proofErr w:type="spellEnd"/>
    </w:p>
    <w:p w:rsidR="00726F1C" w:rsidRPr="00726F1C" w:rsidRDefault="00726F1C" w:rsidP="00CB449D">
      <w:pPr>
        <w:rPr>
          <w:color w:val="7F7F7F" w:themeColor="text1" w:themeTint="80"/>
        </w:rPr>
      </w:pPr>
    </w:p>
    <w:p w:rsidR="00726F1C" w:rsidRPr="00726F1C" w:rsidRDefault="001C5041" w:rsidP="00CB449D">
      <w:pPr>
        <w:rPr>
          <w:b/>
          <w:color w:val="7F7F7F" w:themeColor="text1" w:themeTint="80"/>
        </w:rPr>
      </w:pPr>
      <w:r>
        <w:rPr>
          <w:b/>
          <w:color w:val="7F7F7F" w:themeColor="text1" w:themeTint="80"/>
        </w:rPr>
        <w:t xml:space="preserve">Mohamed Elmarakbi, </w:t>
      </w:r>
      <w:proofErr w:type="spellStart"/>
      <w:r>
        <w:rPr>
          <w:b/>
          <w:color w:val="7F7F7F" w:themeColor="text1" w:themeTint="80"/>
        </w:rPr>
        <w:t>PharmD</w:t>
      </w:r>
      <w:proofErr w:type="spellEnd"/>
    </w:p>
    <w:p w:rsidR="00726F1C" w:rsidRPr="00726F1C" w:rsidRDefault="00726F1C" w:rsidP="00CB449D">
      <w:pPr>
        <w:rPr>
          <w:color w:val="7F7F7F" w:themeColor="text1" w:themeTint="80"/>
        </w:rPr>
      </w:pPr>
      <w:r w:rsidRPr="00726F1C">
        <w:rPr>
          <w:color w:val="7F7F7F" w:themeColor="text1" w:themeTint="80"/>
        </w:rPr>
        <w:t>P</w:t>
      </w:r>
      <w:r w:rsidR="001C5041">
        <w:rPr>
          <w:color w:val="7F7F7F" w:themeColor="text1" w:themeTint="80"/>
        </w:rPr>
        <w:t>GY-1 Pharmacy Practice Resident</w:t>
      </w:r>
    </w:p>
    <w:p w:rsidR="001C5041" w:rsidRPr="00726F1C" w:rsidRDefault="001C5041" w:rsidP="001C5041">
      <w:pPr>
        <w:rPr>
          <w:color w:val="7F7F7F" w:themeColor="text1" w:themeTint="80"/>
        </w:rPr>
      </w:pPr>
      <w:proofErr w:type="spellStart"/>
      <w:r>
        <w:rPr>
          <w:color w:val="7F7F7F" w:themeColor="text1" w:themeTint="80"/>
        </w:rPr>
        <w:t>ChristianaCare</w:t>
      </w:r>
      <w:proofErr w:type="spellEnd"/>
    </w:p>
    <w:p w:rsidR="00726F1C" w:rsidRPr="00CB449D" w:rsidRDefault="00726F1C" w:rsidP="00CB449D">
      <w:pPr>
        <w:rPr>
          <w:b/>
          <w:color w:val="7F7F7F" w:themeColor="text1" w:themeTint="80"/>
        </w:rPr>
      </w:pPr>
    </w:p>
    <w:p w:rsidR="00CB449D" w:rsidRDefault="00390036" w:rsidP="00CB449D">
      <w:pPr>
        <w:pStyle w:val="Heading3"/>
        <w:spacing w:before="0" w:after="120"/>
        <w:rPr>
          <w:rFonts w:cs="Arial"/>
          <w:color w:val="01ADAB"/>
          <w:sz w:val="24"/>
        </w:rPr>
      </w:pPr>
      <w:r>
        <w:rPr>
          <w:rFonts w:cs="Arial"/>
          <w:b w:val="0"/>
          <w:bCs w:val="0"/>
          <w:color w:val="01ADAB"/>
          <w:sz w:val="24"/>
        </w:rPr>
        <w:t>Course reviewer</w:t>
      </w:r>
    </w:p>
    <w:p w:rsidR="00CB449D" w:rsidRPr="00CB449D" w:rsidRDefault="00726F1C" w:rsidP="00CB449D">
      <w:pPr>
        <w:rPr>
          <w:b/>
          <w:color w:val="7F7F7F" w:themeColor="text1" w:themeTint="80"/>
        </w:rPr>
      </w:pPr>
      <w:r>
        <w:rPr>
          <w:b/>
          <w:color w:val="7F7F7F" w:themeColor="text1" w:themeTint="80"/>
        </w:rPr>
        <w:t xml:space="preserve">Katrina Harper, </w:t>
      </w:r>
      <w:proofErr w:type="spellStart"/>
      <w:r>
        <w:rPr>
          <w:b/>
          <w:color w:val="7F7F7F" w:themeColor="text1" w:themeTint="80"/>
        </w:rPr>
        <w:t>PharmD</w:t>
      </w:r>
      <w:proofErr w:type="spellEnd"/>
      <w:r>
        <w:rPr>
          <w:b/>
          <w:color w:val="7F7F7F" w:themeColor="text1" w:themeTint="80"/>
        </w:rPr>
        <w:t>, MBA, BCPS, DPLE</w:t>
      </w:r>
    </w:p>
    <w:p w:rsidR="00CB449D" w:rsidRPr="00CB449D" w:rsidRDefault="00D31C27" w:rsidP="00CB449D">
      <w:pPr>
        <w:rPr>
          <w:color w:val="7F7F7F" w:themeColor="text1" w:themeTint="80"/>
        </w:rPr>
      </w:pPr>
      <w:r>
        <w:rPr>
          <w:color w:val="7F7F7F" w:themeColor="text1" w:themeTint="80"/>
        </w:rPr>
        <w:t>Clinical Pharmacy Director</w:t>
      </w:r>
      <w:r w:rsidR="00726F1C">
        <w:rPr>
          <w:color w:val="7F7F7F" w:themeColor="text1" w:themeTint="80"/>
        </w:rPr>
        <w:t xml:space="preserve"> </w:t>
      </w:r>
    </w:p>
    <w:p w:rsidR="00CB449D" w:rsidRPr="00CB449D" w:rsidRDefault="00726F1C" w:rsidP="00CB449D">
      <w:pPr>
        <w:rPr>
          <w:color w:val="7F7F7F" w:themeColor="text1" w:themeTint="80"/>
        </w:rPr>
      </w:pPr>
      <w:r>
        <w:rPr>
          <w:color w:val="7F7F7F" w:themeColor="text1" w:themeTint="80"/>
        </w:rPr>
        <w:t>Vizient</w:t>
      </w:r>
    </w:p>
    <w:p w:rsidR="00CB449D" w:rsidRPr="00CB449D" w:rsidRDefault="00CB449D" w:rsidP="00CB449D">
      <w:pPr>
        <w:rPr>
          <w:color w:val="7F7F7F" w:themeColor="text1" w:themeTint="80"/>
        </w:rPr>
      </w:pPr>
    </w:p>
    <w:p w:rsidR="00CB449D" w:rsidRDefault="00390036" w:rsidP="00CB449D">
      <w:pPr>
        <w:pStyle w:val="Heading3"/>
        <w:spacing w:before="0" w:after="120"/>
        <w:rPr>
          <w:rFonts w:cs="Arial"/>
          <w:color w:val="01ADAB"/>
          <w:sz w:val="24"/>
        </w:rPr>
      </w:pPr>
      <w:r>
        <w:rPr>
          <w:rFonts w:cs="Arial"/>
          <w:b w:val="0"/>
          <w:bCs w:val="0"/>
          <w:color w:val="01ADAB"/>
          <w:sz w:val="24"/>
        </w:rPr>
        <w:t>Presenter</w:t>
      </w:r>
    </w:p>
    <w:p w:rsidR="001C5041" w:rsidRPr="00726F1C" w:rsidRDefault="001C5041" w:rsidP="001C5041">
      <w:pPr>
        <w:rPr>
          <w:b/>
          <w:color w:val="7F7F7F" w:themeColor="text1" w:themeTint="80"/>
        </w:rPr>
      </w:pPr>
      <w:r>
        <w:rPr>
          <w:b/>
          <w:color w:val="7F7F7F" w:themeColor="text1" w:themeTint="80"/>
        </w:rPr>
        <w:t xml:space="preserve">Mohamed Elmarakbi, </w:t>
      </w:r>
      <w:proofErr w:type="spellStart"/>
      <w:r>
        <w:rPr>
          <w:b/>
          <w:color w:val="7F7F7F" w:themeColor="text1" w:themeTint="80"/>
        </w:rPr>
        <w:t>PharmD</w:t>
      </w:r>
      <w:proofErr w:type="spellEnd"/>
    </w:p>
    <w:p w:rsidR="001C5041" w:rsidRPr="00726F1C" w:rsidRDefault="001C5041" w:rsidP="001C5041">
      <w:pPr>
        <w:rPr>
          <w:color w:val="7F7F7F" w:themeColor="text1" w:themeTint="80"/>
        </w:rPr>
      </w:pPr>
      <w:r w:rsidRPr="00726F1C">
        <w:rPr>
          <w:color w:val="7F7F7F" w:themeColor="text1" w:themeTint="80"/>
        </w:rPr>
        <w:t>P</w:t>
      </w:r>
      <w:r>
        <w:rPr>
          <w:color w:val="7F7F7F" w:themeColor="text1" w:themeTint="80"/>
        </w:rPr>
        <w:t>GY-1 Pharmacy Practice Resident</w:t>
      </w:r>
    </w:p>
    <w:p w:rsidR="001C5041" w:rsidRPr="00726F1C" w:rsidRDefault="001C5041" w:rsidP="001C5041">
      <w:pPr>
        <w:rPr>
          <w:color w:val="7F7F7F" w:themeColor="text1" w:themeTint="80"/>
        </w:rPr>
      </w:pPr>
      <w:proofErr w:type="spellStart"/>
      <w:r>
        <w:rPr>
          <w:color w:val="7F7F7F" w:themeColor="text1" w:themeTint="80"/>
        </w:rPr>
        <w:t>ChristianaCare</w:t>
      </w:r>
      <w:proofErr w:type="spellEnd"/>
    </w:p>
    <w:p w:rsidR="00CB449D" w:rsidRPr="00CB449D" w:rsidRDefault="00CB449D" w:rsidP="00CB449D">
      <w:pPr>
        <w:rPr>
          <w:color w:val="7F7F7F" w:themeColor="text1" w:themeTint="80"/>
        </w:rPr>
      </w:pP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1978"/>
    <w:rsid w:val="00052CEC"/>
    <w:rsid w:val="00056A0F"/>
    <w:rsid w:val="00060A68"/>
    <w:rsid w:val="00060DE0"/>
    <w:rsid w:val="00065834"/>
    <w:rsid w:val="000765B6"/>
    <w:rsid w:val="00095B16"/>
    <w:rsid w:val="000970CD"/>
    <w:rsid w:val="000F1401"/>
    <w:rsid w:val="00104CA4"/>
    <w:rsid w:val="00105FDF"/>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C5041"/>
    <w:rsid w:val="001D2425"/>
    <w:rsid w:val="001D3415"/>
    <w:rsid w:val="001D56DD"/>
    <w:rsid w:val="001F5E4B"/>
    <w:rsid w:val="00200804"/>
    <w:rsid w:val="00200BDE"/>
    <w:rsid w:val="00211BA3"/>
    <w:rsid w:val="00211EFB"/>
    <w:rsid w:val="002210D7"/>
    <w:rsid w:val="00231702"/>
    <w:rsid w:val="00254088"/>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003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6F1C"/>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22A9"/>
    <w:rsid w:val="00987B49"/>
    <w:rsid w:val="009A27BF"/>
    <w:rsid w:val="009A7E1B"/>
    <w:rsid w:val="009A7E9D"/>
    <w:rsid w:val="009B2BA5"/>
    <w:rsid w:val="009B6D1A"/>
    <w:rsid w:val="009D4020"/>
    <w:rsid w:val="009D6B3F"/>
    <w:rsid w:val="009F4A49"/>
    <w:rsid w:val="00A00028"/>
    <w:rsid w:val="00A20B03"/>
    <w:rsid w:val="00A5195E"/>
    <w:rsid w:val="00A63265"/>
    <w:rsid w:val="00A71CDB"/>
    <w:rsid w:val="00A72FD6"/>
    <w:rsid w:val="00A74032"/>
    <w:rsid w:val="00A75D93"/>
    <w:rsid w:val="00A80CF0"/>
    <w:rsid w:val="00A87783"/>
    <w:rsid w:val="00A90C35"/>
    <w:rsid w:val="00A96F4A"/>
    <w:rsid w:val="00AA0D0D"/>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853C1"/>
    <w:rsid w:val="00B914EC"/>
    <w:rsid w:val="00BA29A5"/>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1C27"/>
    <w:rsid w:val="00D35964"/>
    <w:rsid w:val="00D45CFF"/>
    <w:rsid w:val="00D46507"/>
    <w:rsid w:val="00D531EC"/>
    <w:rsid w:val="00D55902"/>
    <w:rsid w:val="00D6051F"/>
    <w:rsid w:val="00D60D0D"/>
    <w:rsid w:val="00D97E07"/>
    <w:rsid w:val="00DA6BD0"/>
    <w:rsid w:val="00DB507E"/>
    <w:rsid w:val="00DC09A4"/>
    <w:rsid w:val="00DC3452"/>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AllMetadata/>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SourceDataModel Name="AD_HOC" TargetDataSourceId="80be7e5f-6e71-448c-9228-23264555308c"/>
</file>

<file path=customXml/item16.xml><?xml version="1.0" encoding="utf-8"?>
<DocPartTree/>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AllExternalAdhocVariableMappings/>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System" displayName="System" id="dc9731b4-d0d2-4ed5-b20d-434d69de1706" isdomainofvalue="False" dataSourceId="00b80028-d226-4a39-9a19-6787589aad19"/>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Definition name="Computed" displayName="Computed" id="69155e26-4760-488b-ab4c-bb15b0f8b2a2" isdomainofvalue="False" dataSourceId="87651697-ca1f-4d80-9f69-bb743e325714"/>
</file>

<file path=customXml/item6.xml><?xml version="1.0" encoding="utf-8"?>
<AllWordPDs>
</AllWordPDs>
</file>

<file path=customXml/item7.xml><?xml version="1.0" encoding="utf-8"?>
<SourceDataModel Name="System" TargetDataSourceId="00b80028-d226-4a39-9a19-6787589aad19"/>
</file>

<file path=customXml/item8.xml><?xml version="1.0" encoding="utf-8"?>
<VariableUsageMapping/>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5BEF3205-EB69-4E70-BFE8-AFB1DD2B0B96}">
  <ds:schemaRefs>
    <ds:schemaRef ds:uri="http://schemas.microsoft.com/sharepoint/v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ff2b044-c74a-4bd8-8e92-b14b9b13b2b5"/>
    <ds:schemaRef ds:uri="http://purl.org/dc/elements/1.1/"/>
    <ds:schemaRef ds:uri="0b2929d2-a33e-45c9-980d-b30e626659d9"/>
    <ds:schemaRef ds:uri="01e59a59-e903-4787-b1b4-4a99956146ec"/>
    <ds:schemaRef ds:uri="1de6e417-ba3b-42be-b14a-7f4cb43c809f"/>
    <ds:schemaRef ds:uri="http://schemas.microsoft.com/sharepoint/v3/fields"/>
    <ds:schemaRef ds:uri="http://www.w3.org/XML/1998/namespace"/>
    <ds:schemaRef ds:uri="http://purl.org/dc/dcmitype/"/>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5C2024C9-8419-418B-BFCE-B8C963B32658}">
  <ds:schemaRefs>
    <ds:schemaRef ds:uri="http://schemas.openxmlformats.org/officeDocument/2006/bibliography"/>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9</cp:revision>
  <cp:lastPrinted>2015-12-22T16:01:00Z</cp:lastPrinted>
  <dcterms:created xsi:type="dcterms:W3CDTF">2019-11-05T19:29:00Z</dcterms:created>
  <dcterms:modified xsi:type="dcterms:W3CDTF">2019-11-07T19:19:00Z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