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83AB516" w:rsidR="00423054" w:rsidRPr="00E50346" w:rsidRDefault="000003C9" w:rsidP="00D6051F">
      <w:pPr>
        <w:pStyle w:val="Heading"/>
      </w:pPr>
      <w:r>
        <w:t>Venous Thromboembolism Treatment in Cancer Patients</w:t>
      </w:r>
    </w:p>
    <w:p w14:paraId="0D0DC3CD" w14:textId="6D2AEC2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003C9">
        <w:rPr>
          <w:color w:val="595959" w:themeColor="text1" w:themeTint="A6"/>
        </w:rPr>
        <w:t>October 1, 2020</w:t>
      </w:r>
    </w:p>
    <w:p w14:paraId="641D3E3A" w14:textId="5EB47B3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003C9">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8DA7D4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6516">
        <w:rPr>
          <w:rFonts w:cs="Arial"/>
          <w:b/>
          <w:color w:val="595959" w:themeColor="text1" w:themeTint="A6"/>
          <w:szCs w:val="20"/>
        </w:rPr>
        <w:t>November 15,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A6516">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228C1420" w14:textId="77777777" w:rsidR="008A6516" w:rsidRDefault="008A6516" w:rsidP="008A6516">
      <w:pPr>
        <w:rPr>
          <w:rFonts w:cs="Arial"/>
          <w:b/>
          <w:color w:val="01ADAB"/>
          <w:sz w:val="24"/>
        </w:rPr>
      </w:pPr>
    </w:p>
    <w:p w14:paraId="2599E1EB" w14:textId="310610D9" w:rsidR="008730EB" w:rsidRDefault="00C87580" w:rsidP="008A6516">
      <w:pPr>
        <w:rPr>
          <w:rFonts w:cs="Arial"/>
          <w:b/>
          <w:color w:val="01ADAB"/>
          <w:sz w:val="24"/>
        </w:rPr>
      </w:pPr>
      <w:r>
        <w:rPr>
          <w:rFonts w:cs="Arial"/>
          <w:b/>
          <w:color w:val="01ADAB"/>
          <w:sz w:val="24"/>
        </w:rPr>
        <w:t>Pharmacist le</w:t>
      </w:r>
      <w:r w:rsidR="008730EB" w:rsidRPr="008730EB">
        <w:rPr>
          <w:rFonts w:cs="Arial"/>
          <w:b/>
          <w:color w:val="01ADAB"/>
          <w:sz w:val="24"/>
        </w:rPr>
        <w:t>arning objectives</w:t>
      </w:r>
    </w:p>
    <w:p w14:paraId="50C123CE" w14:textId="77777777" w:rsidR="008A6516" w:rsidRPr="008730EB" w:rsidRDefault="008A6516" w:rsidP="008A6516">
      <w:pPr>
        <w:rPr>
          <w:rFonts w:cs="Arial"/>
          <w:b/>
          <w:color w:val="01ADAB"/>
          <w:sz w:val="24"/>
        </w:rPr>
      </w:pPr>
    </w:p>
    <w:p w14:paraId="1B7CAE25" w14:textId="31877FA8" w:rsidR="0035174D" w:rsidRPr="00C87580" w:rsidRDefault="00C87580" w:rsidP="008A6516">
      <w:pPr>
        <w:pStyle w:val="ListParagraph"/>
        <w:numPr>
          <w:ilvl w:val="0"/>
          <w:numId w:val="40"/>
        </w:numPr>
        <w:spacing w:after="0"/>
        <w:ind w:left="360"/>
        <w:rPr>
          <w:rFonts w:eastAsia="Calibri" w:cs="Arial"/>
          <w:i/>
          <w:color w:val="595959" w:themeColor="text1" w:themeTint="A6"/>
          <w:szCs w:val="20"/>
        </w:rPr>
      </w:pPr>
      <w:r w:rsidRPr="00C87580">
        <w:rPr>
          <w:rFonts w:cs="Arial"/>
          <w:color w:val="595959" w:themeColor="text1" w:themeTint="A6"/>
          <w:szCs w:val="20"/>
        </w:rPr>
        <w:t>Describe the epidemiology and pathophysiology of venous thromboembolisms in cancer patients</w:t>
      </w:r>
    </w:p>
    <w:p w14:paraId="48362120" w14:textId="77777777" w:rsidR="00C87580" w:rsidRPr="00C87580" w:rsidRDefault="00C87580" w:rsidP="008A6516">
      <w:pPr>
        <w:pStyle w:val="ListParagraph"/>
        <w:numPr>
          <w:ilvl w:val="0"/>
          <w:numId w:val="40"/>
        </w:numPr>
        <w:spacing w:after="0"/>
        <w:ind w:left="360"/>
        <w:rPr>
          <w:rFonts w:cs="Arial"/>
          <w:color w:val="595959" w:themeColor="text1" w:themeTint="A6"/>
          <w:szCs w:val="20"/>
        </w:rPr>
      </w:pPr>
      <w:r w:rsidRPr="00C87580">
        <w:rPr>
          <w:rFonts w:cs="Arial"/>
          <w:color w:val="595959" w:themeColor="text1" w:themeTint="A6"/>
          <w:szCs w:val="20"/>
        </w:rPr>
        <w:t>Discuss risk factors for thrombosis in cancer patients</w:t>
      </w:r>
      <w:r w:rsidRPr="00C87580">
        <w:rPr>
          <w:rFonts w:cs="Arial"/>
          <w:color w:val="595959" w:themeColor="text1" w:themeTint="A6"/>
          <w:szCs w:val="20"/>
        </w:rPr>
        <w:t xml:space="preserve"> </w:t>
      </w:r>
    </w:p>
    <w:p w14:paraId="19A14A12" w14:textId="477C8F76" w:rsidR="004A294A" w:rsidRPr="00C87580" w:rsidRDefault="00C87580" w:rsidP="008A6516">
      <w:pPr>
        <w:pStyle w:val="ListParagraph"/>
        <w:numPr>
          <w:ilvl w:val="0"/>
          <w:numId w:val="40"/>
        </w:numPr>
        <w:spacing w:after="0"/>
        <w:ind w:left="360"/>
        <w:rPr>
          <w:rFonts w:cs="Arial"/>
          <w:color w:val="595959" w:themeColor="text1" w:themeTint="A6"/>
          <w:szCs w:val="20"/>
        </w:rPr>
      </w:pPr>
      <w:r w:rsidRPr="00C87580">
        <w:rPr>
          <w:rFonts w:cs="Arial"/>
          <w:color w:val="595959" w:themeColor="text1" w:themeTint="A6"/>
          <w:szCs w:val="20"/>
        </w:rPr>
        <w:t>Com</w:t>
      </w:r>
      <w:r w:rsidRPr="00C87580">
        <w:rPr>
          <w:rFonts w:cs="Arial"/>
          <w:color w:val="595959" w:themeColor="text1" w:themeTint="A6"/>
          <w:szCs w:val="20"/>
        </w:rPr>
        <w:t>p</w:t>
      </w:r>
      <w:r w:rsidRPr="00C87580">
        <w:rPr>
          <w:rFonts w:cs="Arial"/>
          <w:color w:val="595959" w:themeColor="text1" w:themeTint="A6"/>
          <w:szCs w:val="20"/>
        </w:rPr>
        <w:t>are the anticoagulation recommendations put forth by the American Society of Clinical Oncology Journal (ASCO) and National Comprehensive Cancer Network (NCCN)</w:t>
      </w:r>
    </w:p>
    <w:p w14:paraId="5BA35BDF" w14:textId="61088BE0" w:rsidR="0013180C" w:rsidRPr="00C87580" w:rsidRDefault="00C87580" w:rsidP="008A6516">
      <w:pPr>
        <w:pStyle w:val="ListParagraph"/>
        <w:numPr>
          <w:ilvl w:val="0"/>
          <w:numId w:val="40"/>
        </w:numPr>
        <w:spacing w:after="0"/>
        <w:ind w:left="360"/>
        <w:rPr>
          <w:color w:val="595959" w:themeColor="text1" w:themeTint="A6"/>
        </w:rPr>
      </w:pPr>
      <w:r w:rsidRPr="00C87580">
        <w:rPr>
          <w:rFonts w:cs="Arial"/>
          <w:color w:val="595959" w:themeColor="text1" w:themeTint="A6"/>
          <w:szCs w:val="20"/>
        </w:rPr>
        <w:t>Evaluate the literature on the use of direct acting anticoagulants in cancer patients and recognize their place in practice</w:t>
      </w:r>
    </w:p>
    <w:p w14:paraId="4737A763" w14:textId="77777777" w:rsidR="008A6516" w:rsidRDefault="008A6516" w:rsidP="008A6516">
      <w:pPr>
        <w:rPr>
          <w:rFonts w:cs="Arial"/>
          <w:b/>
          <w:color w:val="01ADAB"/>
          <w:sz w:val="24"/>
        </w:rPr>
      </w:pPr>
    </w:p>
    <w:p w14:paraId="49BA3744" w14:textId="77777777" w:rsidR="008A6516" w:rsidRDefault="008A6516" w:rsidP="008A6516">
      <w:pPr>
        <w:rPr>
          <w:rFonts w:cs="Arial"/>
          <w:b/>
          <w:color w:val="01ADAB"/>
          <w:sz w:val="24"/>
        </w:rPr>
      </w:pPr>
    </w:p>
    <w:p w14:paraId="424E53E1" w14:textId="77777777" w:rsidR="008A6516" w:rsidRDefault="008A6516" w:rsidP="008A6516">
      <w:pPr>
        <w:rPr>
          <w:rFonts w:cs="Arial"/>
          <w:b/>
          <w:color w:val="01ADAB"/>
          <w:sz w:val="24"/>
        </w:rPr>
      </w:pPr>
    </w:p>
    <w:p w14:paraId="250850DB" w14:textId="07E6F4E9" w:rsidR="001449C2" w:rsidRDefault="001449C2" w:rsidP="008A6516">
      <w:pPr>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17694F4" w14:textId="77777777" w:rsidR="008A6516" w:rsidRPr="008730EB" w:rsidRDefault="008A6516" w:rsidP="008A6516">
      <w:pPr>
        <w:rPr>
          <w:rFonts w:cs="Arial"/>
          <w:b/>
          <w:color w:val="01ADAB"/>
          <w:sz w:val="24"/>
        </w:rPr>
      </w:pPr>
    </w:p>
    <w:p w14:paraId="4B12A90A" w14:textId="1170F3B3" w:rsidR="0013180C" w:rsidRPr="00C87580" w:rsidRDefault="00C87580" w:rsidP="008A6516">
      <w:pPr>
        <w:pStyle w:val="ListParagraph"/>
        <w:numPr>
          <w:ilvl w:val="0"/>
          <w:numId w:val="44"/>
        </w:numPr>
        <w:spacing w:after="0"/>
        <w:ind w:left="360"/>
        <w:rPr>
          <w:rFonts w:eastAsia="Calibri" w:cs="Arial"/>
          <w:color w:val="595959" w:themeColor="text1" w:themeTint="A6"/>
          <w:szCs w:val="20"/>
        </w:rPr>
      </w:pPr>
      <w:r w:rsidRPr="00C87580">
        <w:rPr>
          <w:rFonts w:cs="Arial"/>
          <w:color w:val="595959" w:themeColor="text1" w:themeTint="A6"/>
          <w:szCs w:val="20"/>
        </w:rPr>
        <w:t>Recognize brand/generic names of the anticoagulation agents used in the treatment of VTE</w:t>
      </w:r>
    </w:p>
    <w:p w14:paraId="25EBC96A" w14:textId="1D3D4064" w:rsidR="0013180C" w:rsidRDefault="00C87580" w:rsidP="008A6516">
      <w:pPr>
        <w:pStyle w:val="ListParagraph"/>
        <w:numPr>
          <w:ilvl w:val="0"/>
          <w:numId w:val="44"/>
        </w:numPr>
        <w:spacing w:after="0"/>
        <w:ind w:left="360"/>
        <w:rPr>
          <w:rFonts w:cs="Arial"/>
          <w:color w:val="595959" w:themeColor="text1" w:themeTint="A6"/>
          <w:szCs w:val="20"/>
        </w:rPr>
      </w:pPr>
      <w:r w:rsidRPr="00C87580">
        <w:rPr>
          <w:rFonts w:cs="Arial"/>
          <w:color w:val="595959" w:themeColor="text1" w:themeTint="A6"/>
          <w:szCs w:val="20"/>
        </w:rPr>
        <w:t>Identify the different dosage forms of the anticoagulation agents</w:t>
      </w:r>
    </w:p>
    <w:p w14:paraId="51DBF772" w14:textId="7EB0B650" w:rsidR="008A6516" w:rsidRDefault="008A6516" w:rsidP="008A6516"/>
    <w:p w14:paraId="5C4F1C76" w14:textId="77777777" w:rsidR="008A6516" w:rsidRPr="008A6516" w:rsidRDefault="008A6516" w:rsidP="008A651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E1AF18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C87580">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1A6912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411D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C87580">
        <w:rPr>
          <w:rFonts w:cs="Arial"/>
          <w:color w:val="595959" w:themeColor="text1" w:themeTint="A6"/>
        </w:rPr>
        <w:t>178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178195D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411D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C87580">
        <w:rPr>
          <w:rFonts w:cs="Arial"/>
          <w:color w:val="595959" w:themeColor="text1" w:themeTint="A6"/>
        </w:rPr>
        <w:t>178</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3BFA452" w14:textId="77777777" w:rsidR="008A6516" w:rsidRDefault="008A6516" w:rsidP="00C87580">
      <w:pPr>
        <w:pStyle w:val="Heading3"/>
        <w:spacing w:before="0"/>
        <w:rPr>
          <w:rFonts w:cs="Arial"/>
          <w:b w:val="0"/>
          <w:bCs w:val="0"/>
          <w:color w:val="01ADAB"/>
          <w:sz w:val="24"/>
        </w:rPr>
      </w:pPr>
    </w:p>
    <w:p w14:paraId="01680F72" w14:textId="6A0F97EE" w:rsidR="00CB449D" w:rsidRDefault="00CB449D" w:rsidP="00C87580">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C87580"/>
    <w:p w14:paraId="7FAE090A" w14:textId="3671EA1D" w:rsidR="00CB449D" w:rsidRPr="00145C63" w:rsidRDefault="00C87580" w:rsidP="00C87580">
      <w:pPr>
        <w:rPr>
          <w:b/>
          <w:color w:val="595959" w:themeColor="text1" w:themeTint="A6"/>
        </w:rPr>
      </w:pPr>
      <w:r>
        <w:rPr>
          <w:b/>
          <w:color w:val="595959" w:themeColor="text1" w:themeTint="A6"/>
        </w:rPr>
        <w:t>Kyle Barron, PharmD, BCPS</w:t>
      </w:r>
    </w:p>
    <w:p w14:paraId="529DCE50" w14:textId="49688184" w:rsidR="00CB449D" w:rsidRPr="00145C63" w:rsidRDefault="00C87580" w:rsidP="00C87580">
      <w:pPr>
        <w:rPr>
          <w:color w:val="595959" w:themeColor="text1" w:themeTint="A6"/>
        </w:rPr>
      </w:pPr>
      <w:r>
        <w:rPr>
          <w:color w:val="595959" w:themeColor="text1" w:themeTint="A6"/>
        </w:rPr>
        <w:t>Clinical Pharmacist</w:t>
      </w:r>
    </w:p>
    <w:p w14:paraId="0B00B718" w14:textId="5FAB4099" w:rsidR="00CB449D" w:rsidRPr="00145C63" w:rsidRDefault="00C87580" w:rsidP="00C87580">
      <w:pPr>
        <w:rPr>
          <w:color w:val="595959" w:themeColor="text1" w:themeTint="A6"/>
        </w:rPr>
      </w:pPr>
      <w:r>
        <w:rPr>
          <w:color w:val="595959" w:themeColor="text1" w:themeTint="A6"/>
        </w:rPr>
        <w:t>Ochsner Medical Center</w:t>
      </w:r>
    </w:p>
    <w:p w14:paraId="357CDA01" w14:textId="77777777" w:rsidR="00CB449D" w:rsidRPr="00CB449D" w:rsidRDefault="00CB449D" w:rsidP="00C87580">
      <w:pPr>
        <w:rPr>
          <w:color w:val="7F7F7F" w:themeColor="text1" w:themeTint="80"/>
        </w:rPr>
      </w:pPr>
    </w:p>
    <w:p w14:paraId="11C41A61" w14:textId="2AED743A" w:rsidR="00CB449D" w:rsidRPr="00145C63" w:rsidRDefault="00C87580" w:rsidP="00C87580">
      <w:pPr>
        <w:rPr>
          <w:b/>
          <w:color w:val="595959" w:themeColor="text1" w:themeTint="A6"/>
        </w:rPr>
      </w:pPr>
      <w:r>
        <w:rPr>
          <w:b/>
          <w:color w:val="595959" w:themeColor="text1" w:themeTint="A6"/>
        </w:rPr>
        <w:t>Bailey Wise, PharmD</w:t>
      </w:r>
    </w:p>
    <w:p w14:paraId="5A13C106" w14:textId="77777777" w:rsidR="00C87580" w:rsidRPr="00145C63" w:rsidRDefault="00C87580" w:rsidP="00C87580">
      <w:pPr>
        <w:rPr>
          <w:color w:val="595959" w:themeColor="text1" w:themeTint="A6"/>
        </w:rPr>
      </w:pPr>
      <w:r>
        <w:rPr>
          <w:color w:val="595959" w:themeColor="text1" w:themeTint="A6"/>
        </w:rPr>
        <w:t>Clinical Pharmacist</w:t>
      </w:r>
    </w:p>
    <w:p w14:paraId="42E0F60B" w14:textId="77777777" w:rsidR="00C87580" w:rsidRPr="00145C63" w:rsidRDefault="00C87580" w:rsidP="00C87580">
      <w:pPr>
        <w:rPr>
          <w:color w:val="595959" w:themeColor="text1" w:themeTint="A6"/>
        </w:rPr>
      </w:pPr>
      <w:r>
        <w:rPr>
          <w:color w:val="595959" w:themeColor="text1" w:themeTint="A6"/>
        </w:rPr>
        <w:t>Ochsner Medical Center</w:t>
      </w:r>
    </w:p>
    <w:p w14:paraId="2E4B3623" w14:textId="77777777" w:rsidR="00CB449D" w:rsidRPr="00145C63" w:rsidRDefault="00CB449D" w:rsidP="00C87580">
      <w:pPr>
        <w:rPr>
          <w:color w:val="595959" w:themeColor="text1" w:themeTint="A6"/>
        </w:rPr>
      </w:pPr>
    </w:p>
    <w:p w14:paraId="1668AFD0" w14:textId="530FB95E" w:rsidR="00CB449D" w:rsidRPr="00145C63" w:rsidRDefault="00C87580" w:rsidP="00C87580">
      <w:pPr>
        <w:rPr>
          <w:b/>
          <w:color w:val="595959" w:themeColor="text1" w:themeTint="A6"/>
        </w:rPr>
      </w:pPr>
      <w:r>
        <w:rPr>
          <w:b/>
          <w:color w:val="595959" w:themeColor="text1" w:themeTint="A6"/>
        </w:rPr>
        <w:t>Julia Roh, PharmD</w:t>
      </w:r>
    </w:p>
    <w:p w14:paraId="492D82E6" w14:textId="0A1AB644" w:rsidR="00CB449D" w:rsidRPr="00145C63" w:rsidRDefault="00C87580" w:rsidP="00C87580">
      <w:pPr>
        <w:rPr>
          <w:color w:val="595959" w:themeColor="text1" w:themeTint="A6"/>
        </w:rPr>
      </w:pPr>
      <w:r>
        <w:rPr>
          <w:color w:val="595959" w:themeColor="text1" w:themeTint="A6"/>
        </w:rPr>
        <w:t>PGY-2 Pharmacy Resident</w:t>
      </w:r>
    </w:p>
    <w:p w14:paraId="4C762F25" w14:textId="77777777" w:rsidR="00C87580" w:rsidRPr="00145C63" w:rsidRDefault="00C87580" w:rsidP="00C87580">
      <w:pPr>
        <w:rPr>
          <w:color w:val="595959" w:themeColor="text1" w:themeTint="A6"/>
        </w:rPr>
      </w:pPr>
      <w:r>
        <w:rPr>
          <w:color w:val="595959" w:themeColor="text1" w:themeTint="A6"/>
        </w:rPr>
        <w:t>Ochsner Medical Center</w:t>
      </w:r>
    </w:p>
    <w:p w14:paraId="2178C392" w14:textId="77777777" w:rsidR="00CB449D" w:rsidRDefault="00CB449D" w:rsidP="00C87580"/>
    <w:p w14:paraId="7E02880C" w14:textId="34422D08" w:rsidR="00CB449D" w:rsidRDefault="00CB449D" w:rsidP="00C87580">
      <w:pPr>
        <w:pStyle w:val="Heading3"/>
        <w:spacing w:before="0"/>
        <w:rPr>
          <w:rFonts w:cs="Arial"/>
          <w:b w:val="0"/>
          <w:bCs w:val="0"/>
          <w:color w:val="01ADAB"/>
          <w:sz w:val="24"/>
        </w:rPr>
      </w:pPr>
      <w:r>
        <w:rPr>
          <w:rFonts w:cs="Arial"/>
          <w:b w:val="0"/>
          <w:bCs w:val="0"/>
          <w:color w:val="01ADAB"/>
          <w:sz w:val="24"/>
        </w:rPr>
        <w:t>Presenter</w:t>
      </w:r>
    </w:p>
    <w:p w14:paraId="69C64CF1" w14:textId="77777777" w:rsidR="00C661E0" w:rsidRPr="00C661E0" w:rsidRDefault="00C661E0" w:rsidP="00C661E0"/>
    <w:p w14:paraId="3BDA44A4" w14:textId="77777777" w:rsidR="00C87580" w:rsidRPr="00145C63" w:rsidRDefault="00C87580" w:rsidP="00C87580">
      <w:pPr>
        <w:rPr>
          <w:b/>
          <w:color w:val="595959" w:themeColor="text1" w:themeTint="A6"/>
        </w:rPr>
      </w:pPr>
      <w:r>
        <w:rPr>
          <w:b/>
          <w:color w:val="595959" w:themeColor="text1" w:themeTint="A6"/>
        </w:rPr>
        <w:t>Julia Roh, PharmD</w:t>
      </w:r>
    </w:p>
    <w:p w14:paraId="3F8814D4" w14:textId="77777777" w:rsidR="00C87580" w:rsidRPr="00145C63" w:rsidRDefault="00C87580" w:rsidP="00C87580">
      <w:pPr>
        <w:rPr>
          <w:color w:val="595959" w:themeColor="text1" w:themeTint="A6"/>
        </w:rPr>
      </w:pPr>
      <w:r>
        <w:rPr>
          <w:color w:val="595959" w:themeColor="text1" w:themeTint="A6"/>
        </w:rPr>
        <w:t>PGY-2 Pharmacy Resident</w:t>
      </w:r>
    </w:p>
    <w:p w14:paraId="6293ED45" w14:textId="77777777" w:rsidR="00C87580" w:rsidRPr="00145C63" w:rsidRDefault="00C87580" w:rsidP="00C87580">
      <w:pPr>
        <w:rPr>
          <w:color w:val="595959" w:themeColor="text1" w:themeTint="A6"/>
        </w:rPr>
      </w:pPr>
      <w:r>
        <w:rPr>
          <w:color w:val="595959" w:themeColor="text1" w:themeTint="A6"/>
        </w:rPr>
        <w:t>Ochsner Medical Center</w:t>
      </w:r>
    </w:p>
    <w:p w14:paraId="60024B41" w14:textId="77777777" w:rsidR="00C87580" w:rsidRDefault="00C87580" w:rsidP="00C87580"/>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03C9"/>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516"/>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411D1"/>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661E0"/>
    <w:rsid w:val="00C758A2"/>
    <w:rsid w:val="00C87580"/>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ListDefinition name="System" displayName="System" id="dc9731b4-d0d2-4ed5-b20d-434d69de1706" isdomainofvalue="False" dataSourceId="00b80028-d226-4a39-9a19-6787589aad19"/>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SourceDataModel Name="System" TargetDataSourceId="00b80028-d226-4a39-9a19-6787589aad19"/>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VariableListDefinition name="Computed" displayName="Computed" id="69155e26-4760-488b-ab4c-bb15b0f8b2a2" isdomainofvalue="False" dataSourceId="87651697-ca1f-4d80-9f69-bb743e325714"/>
</file>

<file path=customXml/item20.xml><?xml version="1.0" encoding="utf-8"?>
<AllExternalAdhocVariableMappings/>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DocPartTree/>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UsageMapping/>
</file>

<file path=customXml/item26.xml><?xml version="1.0" encoding="utf-8"?>
<AllMetadata/>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AllWordPDs>
</AllWordPDs>
</file>

<file path=customXml/item4.xml><?xml version="1.0" encoding="utf-8"?>
<SourceDataModel Name="AD_HOC" TargetDataSourceId="80be7e5f-6e71-448c-9228-23264555308c"/>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2020-09-13T12:11:00Z</dcterms:created>
  <dcterms:modified xsi:type="dcterms:W3CDTF">2020-09-13T12:52:00Z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