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FC7F05" w:rsidP="00D6051F">
      <w:pPr>
        <w:pStyle w:val="Heading"/>
      </w:pPr>
      <w:r>
        <w:t>How low can your cholesterol go?  Updates on cholesterol management beyond statins</w:t>
      </w:r>
    </w:p>
    <w:p w:rsidR="00423054" w:rsidRDefault="00155E54" w:rsidP="004A294A">
      <w:pPr>
        <w:pStyle w:val="BodyText1"/>
      </w:pPr>
      <w:r>
        <w:t>Activity date</w:t>
      </w:r>
      <w:r w:rsidR="0013180C">
        <w:t xml:space="preserve">: </w:t>
      </w:r>
      <w:r w:rsidR="00FC7F05">
        <w:t>September 18</w:t>
      </w:r>
      <w:r w:rsidR="00C868F1">
        <w:t>, 2019</w:t>
      </w:r>
    </w:p>
    <w:p w:rsidR="00EA13B8" w:rsidRDefault="0013180C" w:rsidP="00423054">
      <w:pPr>
        <w:pStyle w:val="BodyText1"/>
      </w:pPr>
      <w:r>
        <w:t xml:space="preserve">Course director: </w:t>
      </w:r>
      <w:r w:rsidR="00FC7F05">
        <w:t>Kinsey Kowalski</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FC7F05">
        <w:rPr>
          <w:rFonts w:cs="Arial"/>
          <w:b/>
          <w:color w:val="696969"/>
          <w:szCs w:val="20"/>
        </w:rPr>
        <w:t>November 3,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6D12A4"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BC3FDA" w:rsidRDefault="001C3FA1" w:rsidP="005C5387">
      <w:pPr>
        <w:pStyle w:val="ListParagraph"/>
        <w:numPr>
          <w:ilvl w:val="0"/>
          <w:numId w:val="40"/>
        </w:numPr>
        <w:ind w:left="360"/>
        <w:rPr>
          <w:rFonts w:eastAsia="Calibri" w:cs="Arial"/>
          <w:i/>
          <w:color w:val="595959" w:themeColor="text1" w:themeTint="A6"/>
          <w:szCs w:val="20"/>
        </w:rPr>
      </w:pPr>
      <w:r>
        <w:rPr>
          <w:rFonts w:asciiTheme="minorHAnsi" w:eastAsia="Calibri" w:hAnsiTheme="minorHAnsi" w:cstheme="minorHAnsi"/>
          <w:color w:val="696969" w:themeColor="text2"/>
          <w:szCs w:val="20"/>
        </w:rPr>
        <w:t>I</w:t>
      </w:r>
      <w:r>
        <w:rPr>
          <w:rFonts w:asciiTheme="minorHAnsi" w:eastAsia="Calibri" w:hAnsiTheme="minorHAnsi" w:cstheme="minorHAnsi"/>
          <w:color w:val="696969" w:themeColor="text2"/>
          <w:szCs w:val="20"/>
        </w:rPr>
        <w:t>dentify updated recommendations made in the 2018 ACC/AHA guidelines on management of cholesterol</w:t>
      </w:r>
    </w:p>
    <w:p w:rsidR="001C3FA1" w:rsidRPr="001C3FA1" w:rsidRDefault="001C3FA1" w:rsidP="001C3FA1">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Identify appropriate labs and monitoring for patients on pharmacological therapy for hyperlipidemia</w:t>
      </w:r>
    </w:p>
    <w:p w:rsidR="001C3FA1" w:rsidRPr="001C3FA1" w:rsidRDefault="001C3FA1" w:rsidP="001C3FA1">
      <w:pPr>
        <w:pStyle w:val="ListParagraph"/>
        <w:numPr>
          <w:ilvl w:val="0"/>
          <w:numId w:val="40"/>
        </w:numPr>
        <w:ind w:left="360"/>
        <w:rPr>
          <w:rFonts w:cs="Arial"/>
          <w:color w:val="595959" w:themeColor="text1" w:themeTint="A6"/>
          <w:szCs w:val="20"/>
        </w:rPr>
      </w:pPr>
      <w:r w:rsidRPr="001C3FA1">
        <w:rPr>
          <w:rFonts w:asciiTheme="minorHAnsi" w:eastAsia="Calibri" w:hAnsiTheme="minorHAnsi" w:cstheme="minorHAnsi"/>
          <w:color w:val="696969" w:themeColor="text2"/>
          <w:szCs w:val="20"/>
        </w:rPr>
        <w:t>Discuss PCSK9 inhibitors and their place in therapy for the treatment of hyperlipidemia</w:t>
      </w:r>
      <w:r w:rsidRPr="001C3FA1">
        <w:rPr>
          <w:rFonts w:cs="Arial"/>
          <w:b/>
          <w:color w:val="01ADAB"/>
          <w:sz w:val="24"/>
        </w:rPr>
        <w:t xml:space="preserve"> </w:t>
      </w:r>
    </w:p>
    <w:p w:rsidR="007878A6" w:rsidRPr="001C3FA1" w:rsidRDefault="001C3FA1" w:rsidP="001C3FA1">
      <w:pPr>
        <w:rPr>
          <w:rFonts w:cs="Arial"/>
          <w:color w:val="595959" w:themeColor="text1" w:themeTint="A6"/>
          <w:szCs w:val="20"/>
        </w:rPr>
      </w:pPr>
      <w:r>
        <w:rPr>
          <w:rFonts w:cs="Arial"/>
          <w:b/>
          <w:color w:val="01ADAB"/>
          <w:sz w:val="24"/>
        </w:rPr>
        <w:t xml:space="preserve">Pharmacy </w:t>
      </w:r>
      <w:r w:rsidR="007878A6" w:rsidRPr="001C3FA1">
        <w:rPr>
          <w:rFonts w:cs="Arial"/>
          <w:b/>
          <w:color w:val="01ADAB"/>
          <w:sz w:val="24"/>
        </w:rPr>
        <w:t>technician learning objectives</w:t>
      </w:r>
    </w:p>
    <w:p w:rsidR="001C3FA1" w:rsidRPr="001C3FA1" w:rsidRDefault="001C3FA1" w:rsidP="001C3FA1">
      <w:pPr>
        <w:pStyle w:val="ListParagraph"/>
        <w:numPr>
          <w:ilvl w:val="0"/>
          <w:numId w:val="47"/>
        </w:numPr>
        <w:ind w:left="360"/>
        <w:rPr>
          <w:rFonts w:cs="Arial"/>
          <w:color w:val="595959" w:themeColor="text1" w:themeTint="A6"/>
          <w:szCs w:val="20"/>
        </w:rPr>
      </w:pPr>
      <w:r w:rsidRPr="001C3FA1">
        <w:rPr>
          <w:rFonts w:asciiTheme="minorHAnsi" w:eastAsia="Calibri" w:hAnsiTheme="minorHAnsi" w:cstheme="minorHAnsi"/>
          <w:color w:val="595959" w:themeColor="text1" w:themeTint="A6"/>
          <w:szCs w:val="20"/>
        </w:rPr>
        <w:t>Describe the epidemiology and complications associated with hypercholesterolemia</w:t>
      </w:r>
      <w:r w:rsidRPr="001C3FA1">
        <w:rPr>
          <w:rFonts w:eastAsia="Calibri" w:cs="Arial"/>
          <w:color w:val="595959" w:themeColor="text1" w:themeTint="A6"/>
          <w:szCs w:val="20"/>
        </w:rPr>
        <w:t xml:space="preserve"> </w:t>
      </w:r>
    </w:p>
    <w:p w:rsidR="001C3FA1" w:rsidRPr="001C3FA1" w:rsidRDefault="001C3FA1" w:rsidP="001C3FA1">
      <w:pPr>
        <w:pStyle w:val="ListParagraph"/>
        <w:numPr>
          <w:ilvl w:val="0"/>
          <w:numId w:val="47"/>
        </w:numPr>
        <w:ind w:left="360"/>
        <w:rPr>
          <w:rFonts w:cs="Arial"/>
          <w:color w:val="595959" w:themeColor="text1" w:themeTint="A6"/>
          <w:szCs w:val="20"/>
        </w:rPr>
      </w:pPr>
      <w:r w:rsidRPr="001C3FA1">
        <w:rPr>
          <w:rFonts w:cs="Arial"/>
          <w:color w:val="595959" w:themeColor="text1" w:themeTint="A6"/>
          <w:szCs w:val="20"/>
          <w:lang w:val="en-CA"/>
        </w:rPr>
        <w:t>Identify brand/generic names of the pharmacological options for management of hyperlipidemia</w:t>
      </w:r>
      <w:r w:rsidRPr="001C3FA1">
        <w:rPr>
          <w:rFonts w:cs="Arial"/>
          <w:color w:val="595959" w:themeColor="text1" w:themeTint="A6"/>
          <w:szCs w:val="20"/>
        </w:rPr>
        <w:t xml:space="preserve"> </w:t>
      </w:r>
    </w:p>
    <w:p w:rsidR="007878A6" w:rsidRPr="001C3FA1" w:rsidRDefault="001C3FA1" w:rsidP="001C3FA1">
      <w:pPr>
        <w:pStyle w:val="ListParagraph"/>
        <w:numPr>
          <w:ilvl w:val="0"/>
          <w:numId w:val="47"/>
        </w:numPr>
        <w:ind w:left="360"/>
        <w:rPr>
          <w:color w:val="595959" w:themeColor="text1" w:themeTint="A6"/>
        </w:rPr>
      </w:pPr>
      <w:r w:rsidRPr="001C3FA1">
        <w:rPr>
          <w:rFonts w:cs="Arial"/>
          <w:color w:val="595959" w:themeColor="text1" w:themeTint="A6"/>
          <w:szCs w:val="20"/>
          <w:lang w:val="en-CA"/>
        </w:rPr>
        <w:t>Identify appropriate administration and dosage forms of pharmacological options for management of hyperlipidemia</w:t>
      </w:r>
    </w:p>
    <w:p w:rsidR="00C868F1" w:rsidRPr="000211DF" w:rsidRDefault="00C868F1" w:rsidP="00C868F1">
      <w:pPr>
        <w:rPr>
          <w:rFonts w:cs="Arial"/>
          <w:noProof/>
          <w:szCs w:val="20"/>
        </w:rPr>
      </w:pPr>
      <w:r w:rsidRPr="000211DF">
        <w:rPr>
          <w:rFonts w:cs="Arial"/>
          <w:noProof/>
          <w:szCs w:val="20"/>
        </w:rPr>
        <w:lastRenderedPageBreak/>
        <w:drawing>
          <wp:inline distT="0" distB="0" distL="0" distR="0" wp14:anchorId="4D939527" wp14:editId="31CDD10F">
            <wp:extent cx="1577340" cy="990600"/>
            <wp:effectExtent l="0" t="0" r="3810" b="0"/>
            <wp:docPr id="2" name="Picture 2"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C868F1" w:rsidRPr="000211DF" w:rsidRDefault="00C868F1" w:rsidP="00C868F1">
      <w:pPr>
        <w:rPr>
          <w:rFonts w:cs="Arial"/>
          <w:b/>
          <w:szCs w:val="20"/>
          <w:u w:val="single"/>
        </w:rPr>
      </w:pPr>
    </w:p>
    <w:p w:rsidR="00C868F1" w:rsidRPr="008730EB" w:rsidRDefault="00C868F1" w:rsidP="00C868F1">
      <w:pPr>
        <w:rPr>
          <w:rFonts w:cs="Arial"/>
          <w:b/>
          <w:color w:val="696969"/>
          <w:szCs w:val="20"/>
          <w:u w:val="single"/>
        </w:rPr>
      </w:pPr>
      <w:r w:rsidRPr="008730EB">
        <w:rPr>
          <w:rFonts w:cs="Arial"/>
          <w:b/>
          <w:color w:val="696969"/>
          <w:szCs w:val="20"/>
          <w:u w:val="single"/>
        </w:rPr>
        <w:t>Joint Accreditation Statement:</w:t>
      </w:r>
    </w:p>
    <w:p w:rsidR="00C868F1" w:rsidRPr="008730EB" w:rsidRDefault="00C868F1" w:rsidP="00C868F1">
      <w:pPr>
        <w:rPr>
          <w:rFonts w:cs="Arial"/>
          <w:color w:val="696969"/>
          <w:szCs w:val="20"/>
        </w:rPr>
      </w:pPr>
    </w:p>
    <w:p w:rsidR="00FC7F05" w:rsidRDefault="00FC7F05" w:rsidP="00FC7F05">
      <w:pPr>
        <w:autoSpaceDE w:val="0"/>
        <w:autoSpaceDN w:val="0"/>
        <w:rPr>
          <w:rFonts w:cs="Arial"/>
          <w:color w:val="7F7F7F" w:themeColor="text1" w:themeTint="80"/>
          <w:szCs w:val="20"/>
        </w:rPr>
      </w:pPr>
      <w:r>
        <w:rPr>
          <w:rFonts w:cs="Arial"/>
          <w:color w:val="7F7F7F" w:themeColor="text1" w:themeTint="80"/>
        </w:rPr>
        <w:t xml:space="preserve">In support of improving patient care, this activity has been planned and implemented by </w:t>
      </w:r>
      <w:proofErr w:type="spellStart"/>
      <w:r>
        <w:rPr>
          <w:rFonts w:cs="Arial"/>
          <w:color w:val="7F7F7F" w:themeColor="text1" w:themeTint="80"/>
        </w:rPr>
        <w:t>Vizient</w:t>
      </w:r>
      <w:proofErr w:type="spellEnd"/>
      <w:r>
        <w:rPr>
          <w:rFonts w:cs="Arial"/>
          <w:color w:val="7F7F7F" w:themeColor="text1" w:themeTint="80"/>
        </w:rPr>
        <w:t xml:space="preserve">, Inc. and </w:t>
      </w:r>
      <w:proofErr w:type="spellStart"/>
      <w:r>
        <w:rPr>
          <w:rFonts w:cs="Arial"/>
          <w:color w:val="7F7F7F" w:themeColor="text1" w:themeTint="80"/>
        </w:rPr>
        <w:t>Ochsner</w:t>
      </w:r>
      <w:proofErr w:type="spellEnd"/>
      <w:r>
        <w:rPr>
          <w:rFonts w:cs="Arial"/>
          <w:color w:val="7F7F7F" w:themeColor="text1" w:themeTint="80"/>
        </w:rPr>
        <w:t xml:space="preserve"> Medical Center.  </w:t>
      </w:r>
      <w:proofErr w:type="spellStart"/>
      <w:r>
        <w:rPr>
          <w:rFonts w:cs="Arial"/>
          <w:color w:val="7F7F7F" w:themeColor="text1" w:themeTint="80"/>
        </w:rPr>
        <w:t>Vizient</w:t>
      </w:r>
      <w:proofErr w:type="spellEnd"/>
      <w:r>
        <w:rPr>
          <w:rFonts w:cs="Arial"/>
          <w:color w:val="7F7F7F" w:themeColor="text1" w:themeTint="80"/>
        </w:rPr>
        <w:t>, Inc. is jointly accredited by the Accreditation Council for Continuing Medical Education (ACCME), the Accreditation Council for Pharmacy Education (ACPE), and the American Nurses Credentialing Center (ANCC), to provide continuing education for the healthcare team.</w:t>
      </w:r>
    </w:p>
    <w:p w:rsidR="00FC7F05" w:rsidRDefault="00FC7F05" w:rsidP="00FC7F05">
      <w:pPr>
        <w:rPr>
          <w:rFonts w:cs="Arial"/>
          <w:b/>
          <w:color w:val="7F7F7F" w:themeColor="text1" w:themeTint="80"/>
          <w:u w:val="single"/>
        </w:rPr>
      </w:pPr>
    </w:p>
    <w:p w:rsidR="00FC7F05" w:rsidRDefault="00FC7F05" w:rsidP="00FC7F05">
      <w:pPr>
        <w:rPr>
          <w:rFonts w:cs="Arial"/>
          <w:b/>
          <w:color w:val="7F7F7F" w:themeColor="text1" w:themeTint="80"/>
          <w:u w:val="single"/>
        </w:rPr>
      </w:pPr>
      <w:r>
        <w:rPr>
          <w:rFonts w:cs="Arial"/>
          <w:b/>
          <w:color w:val="7F7F7F" w:themeColor="text1" w:themeTint="80"/>
          <w:u w:val="single"/>
        </w:rPr>
        <w:t>Designation Statements:</w:t>
      </w:r>
    </w:p>
    <w:p w:rsidR="00FC7F05" w:rsidRDefault="00FC7F05" w:rsidP="00FC7F05">
      <w:pPr>
        <w:rPr>
          <w:rFonts w:cs="Arial"/>
          <w:color w:val="7F7F7F" w:themeColor="text1" w:themeTint="80"/>
        </w:rPr>
      </w:pPr>
    </w:p>
    <w:p w:rsidR="00FC7F05" w:rsidRDefault="00FC7F05" w:rsidP="00FC7F05">
      <w:pPr>
        <w:pStyle w:val="Heading4"/>
        <w:rPr>
          <w:rFonts w:cs="Arial"/>
          <w:color w:val="7F7F7F" w:themeColor="text1" w:themeTint="80"/>
        </w:rPr>
      </w:pPr>
      <w:r>
        <w:rPr>
          <w:rFonts w:cs="Arial"/>
          <w:color w:val="7F7F7F" w:themeColor="text1" w:themeTint="80"/>
        </w:rPr>
        <w:t>PHARMACY</w:t>
      </w:r>
    </w:p>
    <w:p w:rsidR="00FC7F05" w:rsidRDefault="00FC7F05" w:rsidP="00FC7F05">
      <w:pPr>
        <w:rPr>
          <w:rFonts w:cs="Arial"/>
          <w:color w:val="7F7F7F" w:themeColor="text1" w:themeTint="80"/>
        </w:rPr>
      </w:pPr>
      <w:r>
        <w:rPr>
          <w:rFonts w:cs="Arial"/>
          <w:color w:val="7F7F7F" w:themeColor="text1" w:themeTint="80"/>
        </w:rPr>
        <w:t>Universal Activity Number: JA0006103-9999-19-186-L04-P</w:t>
      </w:r>
    </w:p>
    <w:p w:rsidR="00FC7F05" w:rsidRDefault="00FC7F05" w:rsidP="00FC7F05">
      <w:pPr>
        <w:rPr>
          <w:rFonts w:cs="Arial"/>
          <w:color w:val="7F7F7F" w:themeColor="text1" w:themeTint="80"/>
        </w:rPr>
      </w:pPr>
      <w:r>
        <w:rPr>
          <w:rFonts w:cs="Arial"/>
          <w:color w:val="7F7F7F" w:themeColor="text1" w:themeTint="80"/>
        </w:rPr>
        <w:t>Universal Activity Number: JA0006103-9999-19-186-L04-T</w:t>
      </w:r>
    </w:p>
    <w:p w:rsidR="00FC7F05" w:rsidRDefault="00FC7F05" w:rsidP="00FC7F05">
      <w:pPr>
        <w:pStyle w:val="Heading3"/>
        <w:rPr>
          <w:rFonts w:cs="Arial"/>
          <w:color w:val="7F7F7F" w:themeColor="text1" w:themeTint="80"/>
        </w:rPr>
      </w:pPr>
      <w:r>
        <w:rPr>
          <w:rFonts w:cs="Arial"/>
          <w:color w:val="7F7F7F" w:themeColor="text1" w:themeTint="80"/>
        </w:rPr>
        <w:t>CEU</w:t>
      </w:r>
    </w:p>
    <w:p w:rsidR="00FC7F05" w:rsidRDefault="00FC7F05" w:rsidP="00FC7F05">
      <w:pPr>
        <w:rPr>
          <w:rFonts w:cs="Arial"/>
          <w:color w:val="7F7F7F" w:themeColor="text1" w:themeTint="80"/>
        </w:rPr>
      </w:pPr>
      <w:proofErr w:type="spellStart"/>
      <w:r>
        <w:rPr>
          <w:rFonts w:cs="Arial"/>
          <w:color w:val="7F7F7F" w:themeColor="text1" w:themeTint="80"/>
        </w:rPr>
        <w:t>Vizient</w:t>
      </w:r>
      <w:proofErr w:type="spellEnd"/>
      <w:r>
        <w:rPr>
          <w:rFonts w:cs="Arial"/>
          <w:color w:val="7F7F7F" w:themeColor="text1" w:themeTint="8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1C3FA1" w:rsidRDefault="004B0F88" w:rsidP="001C3FA1">
      <w:pPr>
        <w:spacing w:before="120"/>
        <w:rPr>
          <w:rFonts w:cs="Arial"/>
          <w:bCs/>
          <w:color w:val="696969"/>
          <w:sz w:val="18"/>
          <w:szCs w:val="18"/>
        </w:rPr>
      </w:pPr>
      <w:r w:rsidRPr="001C3FA1">
        <w:rPr>
          <w:rFonts w:cs="Arial"/>
          <w:bCs/>
          <w:color w:val="696969"/>
          <w:sz w:val="18"/>
          <w:szCs w:val="18"/>
        </w:rPr>
        <w:t xml:space="preserve">Relevant financial relationships: </w:t>
      </w:r>
      <w:r w:rsidR="0013180C" w:rsidRPr="001C3FA1">
        <w:rPr>
          <w:rFonts w:cs="Arial"/>
          <w:bCs/>
          <w:color w:val="696969"/>
          <w:sz w:val="18"/>
          <w:szCs w:val="18"/>
        </w:rPr>
        <w:t>Planning committee members and speakers have nothing to disclose</w:t>
      </w:r>
    </w:p>
    <w:p w:rsidR="001C3FA1" w:rsidRPr="001C3FA1" w:rsidRDefault="001C3FA1" w:rsidP="001C3FA1">
      <w:pPr>
        <w:spacing w:before="120"/>
        <w:rPr>
          <w:rFonts w:cs="Arial"/>
          <w:bCs/>
          <w:color w:val="696969"/>
          <w:sz w:val="18"/>
          <w:szCs w:val="18"/>
        </w:rPr>
      </w:pPr>
      <w:r w:rsidRPr="001C3FA1">
        <w:rPr>
          <w:rFonts w:cs="Arial"/>
          <w:bCs/>
          <w:color w:val="696969"/>
          <w:sz w:val="18"/>
          <w:szCs w:val="18"/>
        </w:rPr>
        <w:t>The presenter will discuss off-label and investigative use of drugs</w:t>
      </w:r>
    </w:p>
    <w:p w:rsidR="001C3FA1" w:rsidRDefault="001C3FA1" w:rsidP="008730EB">
      <w:pPr>
        <w:pStyle w:val="Heading3"/>
        <w:spacing w:before="240" w:after="120"/>
        <w:rPr>
          <w:rFonts w:cs="Arial"/>
          <w:color w:val="01ADAB"/>
          <w:sz w:val="24"/>
        </w:rPr>
      </w:pP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1C3FA1" w:rsidRPr="001C3FA1" w:rsidRDefault="001C3FA1" w:rsidP="001C3FA1">
      <w:pPr>
        <w:rPr>
          <w:b/>
          <w:color w:val="595959" w:themeColor="text1" w:themeTint="A6"/>
        </w:rPr>
      </w:pPr>
      <w:r w:rsidRPr="001C3FA1">
        <w:rPr>
          <w:b/>
          <w:color w:val="595959" w:themeColor="text1" w:themeTint="A6"/>
        </w:rPr>
        <w:t xml:space="preserve">Eric Coons, </w:t>
      </w:r>
      <w:proofErr w:type="spellStart"/>
      <w:r w:rsidRPr="001C3FA1">
        <w:rPr>
          <w:b/>
          <w:color w:val="595959" w:themeColor="text1" w:themeTint="A6"/>
        </w:rPr>
        <w:t>PharmD</w:t>
      </w:r>
      <w:proofErr w:type="spellEnd"/>
    </w:p>
    <w:p w:rsidR="001C3FA1" w:rsidRPr="001C3FA1" w:rsidRDefault="001C3FA1" w:rsidP="001C3FA1">
      <w:pPr>
        <w:rPr>
          <w:color w:val="595959" w:themeColor="text1" w:themeTint="A6"/>
        </w:rPr>
      </w:pPr>
      <w:r w:rsidRPr="001C3FA1">
        <w:rPr>
          <w:color w:val="595959" w:themeColor="text1" w:themeTint="A6"/>
        </w:rPr>
        <w:t>Pharmacist</w:t>
      </w:r>
    </w:p>
    <w:p w:rsidR="001C3FA1" w:rsidRPr="001C3FA1" w:rsidRDefault="001C3FA1" w:rsidP="001C3FA1">
      <w:pPr>
        <w:rPr>
          <w:color w:val="595959" w:themeColor="text1" w:themeTint="A6"/>
        </w:rPr>
      </w:pPr>
      <w:proofErr w:type="spellStart"/>
      <w:r w:rsidRPr="001C3FA1">
        <w:rPr>
          <w:color w:val="595959" w:themeColor="text1" w:themeTint="A6"/>
        </w:rPr>
        <w:t>Ochsner</w:t>
      </w:r>
      <w:proofErr w:type="spellEnd"/>
      <w:r w:rsidRPr="001C3FA1">
        <w:rPr>
          <w:color w:val="595959" w:themeColor="text1" w:themeTint="A6"/>
        </w:rPr>
        <w:t xml:space="preserve"> Medical Center</w:t>
      </w:r>
    </w:p>
    <w:p w:rsidR="001C3FA1" w:rsidRPr="001C3FA1" w:rsidRDefault="001C3FA1" w:rsidP="001C3FA1">
      <w:pPr>
        <w:rPr>
          <w:color w:val="595959" w:themeColor="text1" w:themeTint="A6"/>
        </w:rPr>
      </w:pPr>
    </w:p>
    <w:p w:rsidR="001C3FA1" w:rsidRPr="001C3FA1" w:rsidRDefault="001C3FA1" w:rsidP="001C3FA1">
      <w:pPr>
        <w:rPr>
          <w:b/>
          <w:color w:val="595959" w:themeColor="text1" w:themeTint="A6"/>
        </w:rPr>
      </w:pPr>
      <w:r w:rsidRPr="001C3FA1">
        <w:rPr>
          <w:b/>
          <w:color w:val="595959" w:themeColor="text1" w:themeTint="A6"/>
        </w:rPr>
        <w:t xml:space="preserve">Kinsey Kowalski, </w:t>
      </w:r>
      <w:proofErr w:type="spellStart"/>
      <w:r w:rsidRPr="001C3FA1">
        <w:rPr>
          <w:b/>
          <w:color w:val="595959" w:themeColor="text1" w:themeTint="A6"/>
        </w:rPr>
        <w:t>PharmD</w:t>
      </w:r>
      <w:proofErr w:type="spellEnd"/>
    </w:p>
    <w:p w:rsidR="001C3FA1" w:rsidRPr="001C3FA1" w:rsidRDefault="001C3FA1" w:rsidP="001C3FA1">
      <w:pPr>
        <w:rPr>
          <w:color w:val="595959" w:themeColor="text1" w:themeTint="A6"/>
        </w:rPr>
      </w:pPr>
      <w:r w:rsidRPr="001C3FA1">
        <w:rPr>
          <w:color w:val="595959" w:themeColor="text1" w:themeTint="A6"/>
        </w:rPr>
        <w:t>Pharmacist</w:t>
      </w:r>
    </w:p>
    <w:p w:rsidR="001C3FA1" w:rsidRDefault="001C3FA1" w:rsidP="001C3FA1">
      <w:proofErr w:type="spellStart"/>
      <w:r w:rsidRPr="001C3FA1">
        <w:rPr>
          <w:color w:val="595959" w:themeColor="text1" w:themeTint="A6"/>
        </w:rPr>
        <w:t>Ochsner</w:t>
      </w:r>
      <w:proofErr w:type="spellEnd"/>
      <w:r w:rsidRPr="001C3FA1">
        <w:rPr>
          <w:color w:val="595959" w:themeColor="text1" w:themeTint="A6"/>
        </w:rPr>
        <w:t xml:space="preserve"> Medical Cente</w:t>
      </w:r>
      <w:r>
        <w:t>r</w:t>
      </w:r>
    </w:p>
    <w:p w:rsidR="001C3FA1" w:rsidRDefault="001C3FA1" w:rsidP="001C3FA1"/>
    <w:p w:rsidR="001C3FA1" w:rsidRDefault="001C3FA1" w:rsidP="00231702">
      <w:pPr>
        <w:pStyle w:val="Heading3"/>
        <w:spacing w:before="0" w:after="120"/>
        <w:rPr>
          <w:rFonts w:cs="Arial"/>
          <w:color w:val="01ADAB"/>
          <w:sz w:val="24"/>
        </w:rPr>
      </w:pPr>
    </w:p>
    <w:p w:rsidR="00231702" w:rsidRDefault="00231702" w:rsidP="00231702">
      <w:pPr>
        <w:pStyle w:val="Heading3"/>
        <w:spacing w:before="0" w:after="120"/>
        <w:rPr>
          <w:rFonts w:cs="Arial"/>
          <w:color w:val="01ADAB"/>
          <w:sz w:val="24"/>
        </w:rPr>
      </w:pPr>
      <w:r>
        <w:rPr>
          <w:rFonts w:cs="Arial"/>
          <w:color w:val="01ADAB"/>
          <w:sz w:val="24"/>
        </w:rPr>
        <w:t>Course reviewer</w:t>
      </w:r>
    </w:p>
    <w:p w:rsidR="001C3FA1" w:rsidRPr="008730EB" w:rsidRDefault="001C3FA1" w:rsidP="001C3FA1">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 DPLA</w:t>
      </w:r>
    </w:p>
    <w:p w:rsidR="001C3FA1" w:rsidRDefault="001C3FA1" w:rsidP="001C3FA1">
      <w:pPr>
        <w:rPr>
          <w:rFonts w:cs="Arial"/>
          <w:bCs/>
          <w:color w:val="696969"/>
          <w:szCs w:val="20"/>
        </w:rPr>
      </w:pPr>
      <w:r>
        <w:rPr>
          <w:rFonts w:cs="Arial"/>
          <w:bCs/>
          <w:color w:val="696969"/>
          <w:szCs w:val="20"/>
        </w:rPr>
        <w:t>Senior Clinical Manager</w:t>
      </w:r>
    </w:p>
    <w:p w:rsidR="001C3FA1" w:rsidRPr="001C3FA1" w:rsidRDefault="001C3FA1" w:rsidP="001C3FA1">
      <w:proofErr w:type="spellStart"/>
      <w:r>
        <w:rPr>
          <w:rFonts w:cs="Arial"/>
          <w:bCs/>
          <w:color w:val="696969"/>
          <w:szCs w:val="20"/>
        </w:rPr>
        <w:t>Vizient</w:t>
      </w:r>
      <w:proofErr w:type="spellEnd"/>
    </w:p>
    <w:p w:rsidR="00231702" w:rsidRDefault="00231702" w:rsidP="00231702"/>
    <w:p w:rsidR="001C3FA1" w:rsidRDefault="001C3FA1" w:rsidP="008730EB">
      <w:pPr>
        <w:pStyle w:val="Heading3"/>
        <w:spacing w:before="0" w:after="120"/>
        <w:rPr>
          <w:rFonts w:cs="Arial"/>
          <w:color w:val="01ADAB"/>
          <w:sz w:val="24"/>
        </w:rPr>
      </w:pPr>
    </w:p>
    <w:p w:rsidR="008730EB" w:rsidRDefault="001C3FA1" w:rsidP="008730EB">
      <w:pPr>
        <w:pStyle w:val="Heading3"/>
        <w:spacing w:before="0" w:after="120"/>
        <w:rPr>
          <w:rFonts w:cs="Arial"/>
          <w:color w:val="01ADAB"/>
          <w:sz w:val="24"/>
        </w:rPr>
      </w:pPr>
      <w:bookmarkStart w:id="0" w:name="_GoBack"/>
      <w:bookmarkEnd w:id="0"/>
      <w:r>
        <w:rPr>
          <w:rFonts w:cs="Arial"/>
          <w:color w:val="01ADAB"/>
          <w:sz w:val="24"/>
        </w:rPr>
        <w:t>Presenter</w:t>
      </w:r>
    </w:p>
    <w:p w:rsidR="001C3FA1" w:rsidRPr="001C3FA1" w:rsidRDefault="001C3FA1" w:rsidP="001C3FA1">
      <w:pPr>
        <w:rPr>
          <w:b/>
          <w:color w:val="595959" w:themeColor="text1" w:themeTint="A6"/>
        </w:rPr>
      </w:pPr>
      <w:r w:rsidRPr="001C3FA1">
        <w:rPr>
          <w:b/>
          <w:color w:val="595959" w:themeColor="text1" w:themeTint="A6"/>
        </w:rPr>
        <w:t xml:space="preserve">Elle Kline, </w:t>
      </w:r>
      <w:proofErr w:type="spellStart"/>
      <w:r w:rsidRPr="001C3FA1">
        <w:rPr>
          <w:b/>
          <w:color w:val="595959" w:themeColor="text1" w:themeTint="A6"/>
        </w:rPr>
        <w:t>PharmD</w:t>
      </w:r>
      <w:proofErr w:type="spellEnd"/>
    </w:p>
    <w:p w:rsidR="001C3FA1" w:rsidRPr="001C3FA1" w:rsidRDefault="001C3FA1" w:rsidP="001C3FA1">
      <w:pPr>
        <w:rPr>
          <w:color w:val="595959" w:themeColor="text1" w:themeTint="A6"/>
        </w:rPr>
      </w:pPr>
      <w:r w:rsidRPr="001C3FA1">
        <w:rPr>
          <w:color w:val="595959" w:themeColor="text1" w:themeTint="A6"/>
        </w:rPr>
        <w:t>Pharmacy Resident</w:t>
      </w:r>
    </w:p>
    <w:p w:rsidR="001C3FA1" w:rsidRPr="001C3FA1" w:rsidRDefault="001C3FA1" w:rsidP="001C3FA1">
      <w:pPr>
        <w:rPr>
          <w:color w:val="595959" w:themeColor="text1" w:themeTint="A6"/>
        </w:rPr>
      </w:pPr>
      <w:proofErr w:type="spellStart"/>
      <w:r w:rsidRPr="001C3FA1">
        <w:rPr>
          <w:color w:val="595959" w:themeColor="text1" w:themeTint="A6"/>
        </w:rPr>
        <w:t>Ochsner</w:t>
      </w:r>
      <w:proofErr w:type="spellEnd"/>
      <w:r w:rsidRPr="001C3FA1">
        <w:rPr>
          <w:color w:val="595959" w:themeColor="text1" w:themeTint="A6"/>
        </w:rPr>
        <w:t xml:space="preserve"> Medical Center</w:t>
      </w:r>
    </w:p>
    <w:p w:rsidR="001C3FA1" w:rsidRPr="001C3FA1" w:rsidRDefault="001C3FA1" w:rsidP="001C3FA1"/>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CD5F2E" w:rsidRDefault="00CD5F2E" w:rsidP="00CD5F2E">
    <w:pPr>
      <w:pStyle w:val="Header"/>
      <w:jc w:val="right"/>
    </w:pPr>
    <w:r>
      <w:rPr>
        <w:noProof/>
      </w:rPr>
      <w:drawing>
        <wp:inline distT="0" distB="0" distL="0" distR="0" wp14:anchorId="790121B2" wp14:editId="3B76A453">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1F4E"/>
    <w:multiLevelType w:val="hybridMultilevel"/>
    <w:tmpl w:val="52C4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B426A"/>
    <w:multiLevelType w:val="hybridMultilevel"/>
    <w:tmpl w:val="52341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F3A53B0"/>
    <w:multiLevelType w:val="hybridMultilevel"/>
    <w:tmpl w:val="AE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6"/>
  </w:num>
  <w:num w:numId="7">
    <w:abstractNumId w:val="26"/>
  </w:num>
  <w:num w:numId="8">
    <w:abstractNumId w:val="42"/>
  </w:num>
  <w:num w:numId="9">
    <w:abstractNumId w:val="38"/>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8"/>
  </w:num>
  <w:num w:numId="17">
    <w:abstractNumId w:val="16"/>
  </w:num>
  <w:num w:numId="18">
    <w:abstractNumId w:val="37"/>
  </w:num>
  <w:num w:numId="19">
    <w:abstractNumId w:val="41"/>
  </w:num>
  <w:num w:numId="20">
    <w:abstractNumId w:val="30"/>
  </w:num>
  <w:num w:numId="21">
    <w:abstractNumId w:val="11"/>
  </w:num>
  <w:num w:numId="22">
    <w:abstractNumId w:val="24"/>
  </w:num>
  <w:num w:numId="23">
    <w:abstractNumId w:val="14"/>
  </w:num>
  <w:num w:numId="24">
    <w:abstractNumId w:val="36"/>
  </w:num>
  <w:num w:numId="25">
    <w:abstractNumId w:val="5"/>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10"/>
  </w:num>
  <w:num w:numId="33">
    <w:abstractNumId w:val="35"/>
  </w:num>
  <w:num w:numId="34">
    <w:abstractNumId w:val="23"/>
  </w:num>
  <w:num w:numId="35">
    <w:abstractNumId w:val="12"/>
  </w:num>
  <w:num w:numId="36">
    <w:abstractNumId w:val="2"/>
  </w:num>
  <w:num w:numId="37">
    <w:abstractNumId w:val="0"/>
  </w:num>
  <w:num w:numId="38">
    <w:abstractNumId w:val="7"/>
  </w:num>
  <w:num w:numId="39">
    <w:abstractNumId w:val="9"/>
  </w:num>
  <w:num w:numId="40">
    <w:abstractNumId w:val="4"/>
  </w:num>
  <w:num w:numId="41">
    <w:abstractNumId w:val="20"/>
  </w:num>
  <w:num w:numId="42">
    <w:abstractNumId w:val="32"/>
  </w:num>
  <w:num w:numId="43">
    <w:abstractNumId w:val="17"/>
  </w:num>
  <w:num w:numId="44">
    <w:abstractNumId w:val="13"/>
  </w:num>
  <w:num w:numId="45">
    <w:abstractNumId w:val="25"/>
  </w:num>
  <w:num w:numId="46">
    <w:abstractNumId w:val="3"/>
  </w:num>
  <w:num w:numId="47">
    <w:abstractNumId w:val="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C3FA1"/>
    <w:rsid w:val="001D2425"/>
    <w:rsid w:val="001D3415"/>
    <w:rsid w:val="001D56DD"/>
    <w:rsid w:val="001F5E4B"/>
    <w:rsid w:val="00200804"/>
    <w:rsid w:val="00200BDE"/>
    <w:rsid w:val="00211BA3"/>
    <w:rsid w:val="00211EFB"/>
    <w:rsid w:val="002210D7"/>
    <w:rsid w:val="00231702"/>
    <w:rsid w:val="0023794C"/>
    <w:rsid w:val="00262A90"/>
    <w:rsid w:val="00273E1B"/>
    <w:rsid w:val="00273E43"/>
    <w:rsid w:val="0029361D"/>
    <w:rsid w:val="002B3983"/>
    <w:rsid w:val="002C549F"/>
    <w:rsid w:val="002D0D3A"/>
    <w:rsid w:val="002D2FCE"/>
    <w:rsid w:val="002E26E9"/>
    <w:rsid w:val="002E5346"/>
    <w:rsid w:val="00312693"/>
    <w:rsid w:val="00315D23"/>
    <w:rsid w:val="00316BC2"/>
    <w:rsid w:val="003259A5"/>
    <w:rsid w:val="003275F3"/>
    <w:rsid w:val="00330B71"/>
    <w:rsid w:val="003404C7"/>
    <w:rsid w:val="00350D84"/>
    <w:rsid w:val="0035174D"/>
    <w:rsid w:val="003539AF"/>
    <w:rsid w:val="00367B14"/>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1A0D"/>
    <w:rsid w:val="0048354F"/>
    <w:rsid w:val="00486539"/>
    <w:rsid w:val="004A294A"/>
    <w:rsid w:val="004A35F8"/>
    <w:rsid w:val="004A5394"/>
    <w:rsid w:val="004A677D"/>
    <w:rsid w:val="004B0F88"/>
    <w:rsid w:val="004B3F48"/>
    <w:rsid w:val="004C3FD4"/>
    <w:rsid w:val="004C7923"/>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975"/>
    <w:rsid w:val="006C2361"/>
    <w:rsid w:val="006D12A4"/>
    <w:rsid w:val="006E3F56"/>
    <w:rsid w:val="006F020F"/>
    <w:rsid w:val="006F1E6D"/>
    <w:rsid w:val="00707853"/>
    <w:rsid w:val="00714301"/>
    <w:rsid w:val="00715300"/>
    <w:rsid w:val="007158FC"/>
    <w:rsid w:val="00723601"/>
    <w:rsid w:val="00743621"/>
    <w:rsid w:val="00745310"/>
    <w:rsid w:val="00751A26"/>
    <w:rsid w:val="00756986"/>
    <w:rsid w:val="00775D79"/>
    <w:rsid w:val="007878A6"/>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24937"/>
    <w:rsid w:val="00C36F35"/>
    <w:rsid w:val="00C406F6"/>
    <w:rsid w:val="00C419FD"/>
    <w:rsid w:val="00C55AA4"/>
    <w:rsid w:val="00C758A2"/>
    <w:rsid w:val="00C868F1"/>
    <w:rsid w:val="00C90C2A"/>
    <w:rsid w:val="00C93913"/>
    <w:rsid w:val="00C93CE2"/>
    <w:rsid w:val="00C9605F"/>
    <w:rsid w:val="00C9606B"/>
    <w:rsid w:val="00CA20C5"/>
    <w:rsid w:val="00CB537E"/>
    <w:rsid w:val="00CC182A"/>
    <w:rsid w:val="00CC289B"/>
    <w:rsid w:val="00CC3A07"/>
    <w:rsid w:val="00CD118E"/>
    <w:rsid w:val="00CD18C0"/>
    <w:rsid w:val="00CD5F2E"/>
    <w:rsid w:val="00CF2699"/>
    <w:rsid w:val="00CF5730"/>
    <w:rsid w:val="00D04BFD"/>
    <w:rsid w:val="00D14C65"/>
    <w:rsid w:val="00D2267A"/>
    <w:rsid w:val="00D35964"/>
    <w:rsid w:val="00D45CFF"/>
    <w:rsid w:val="00D46507"/>
    <w:rsid w:val="00D531EC"/>
    <w:rsid w:val="00D55902"/>
    <w:rsid w:val="00D6051F"/>
    <w:rsid w:val="00D60D0D"/>
    <w:rsid w:val="00D71FA2"/>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C7F05"/>
    <w:rsid w:val="00FD3B8D"/>
    <w:rsid w:val="00FD544F"/>
    <w:rsid w:val="00FE3941"/>
    <w:rsid w:val="00FE7BF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69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SourceDataModel Name="AD_HOC" TargetDataSourceId="80be7e5f-6e71-448c-9228-23264555308c"/>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AllExternalAdhocVariableMapping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VariableUsageMapping/>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Definition name="Computed" displayName="Computed" id="69155e26-4760-488b-ab4c-bb15b0f8b2a2" isdomainofvalue="False" dataSourceId="87651697-ca1f-4d80-9f69-bb743e325714"/>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AllMetadata/>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SourceDataModel Name="System" TargetDataSourceId="00b80028-d226-4a39-9a19-6787589aad19"/>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Definition name="AD_HOC" displayName="AD_HOC" id="9426ea6f-1b24-4683-bca3-85d71f6375fd" isdomainofvalue="False" dataSourceId="80be7e5f-6e71-448c-9228-23264555308c"/>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SourceDataModel Name="Computed" TargetDataSourceId="87651697-ca1f-4d80-9f69-bb743e325714"/>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AllWordPDs>
</AllWordPDs>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353AD78B-39AB-4041-8164-61C4DAFA0DC9}">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0b2929d2-a33e-45c9-980d-b30e626659d9"/>
    <ds:schemaRef ds:uri="http://schemas.microsoft.com/office/infopath/2007/PartnerControls"/>
    <ds:schemaRef ds:uri="http://schemas.openxmlformats.org/package/2006/metadata/core-properties"/>
    <ds:schemaRef ds:uri="http://purl.org/dc/terms/"/>
    <ds:schemaRef ds:uri="1de6e417-ba3b-42be-b14a-7f4cb43c809f"/>
    <ds:schemaRef ds:uri="fff2b044-c74a-4bd8-8e92-b14b9b13b2b5"/>
    <ds:schemaRef ds:uri="http://schemas.microsoft.com/office/2006/documentManagement/types"/>
    <ds:schemaRef ds:uri="http://schemas.microsoft.com/sharepoint/v3/fields"/>
    <ds:schemaRef ds:uri="http://schemas.microsoft.com/sharepoint/v3"/>
    <ds:schemaRef ds:uri="01e59a59-e903-4787-b1b4-4a99956146ec"/>
    <ds:schemaRef ds:uri="http://www.w3.org/XML/1998/namespace"/>
    <ds:schemaRef ds:uri="http://purl.org/dc/dcmitype/"/>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2019-08-21T19:45:00Z</dcterms:created>
  <dcterms:modified xsi:type="dcterms:W3CDTF">2019-08-21T19:54:00Z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