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32F44E0" w:rsidR="00ED6AE4" w:rsidRPr="008B1CED" w:rsidRDefault="00FC2180" w:rsidP="00ED6AE4">
      <w:pPr>
        <w:pStyle w:val="Heading"/>
      </w:pPr>
      <w:r>
        <w:t>New Approaches for the Treatment of Chronic GVHD</w:t>
      </w:r>
    </w:p>
    <w:p w14:paraId="0D0DC3CD" w14:textId="2474A83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C2180">
        <w:rPr>
          <w:color w:val="595959" w:themeColor="text1" w:themeTint="A6"/>
        </w:rPr>
        <w:t>October 28, 2021</w:t>
      </w:r>
    </w:p>
    <w:p w14:paraId="641D3E3A" w14:textId="2095A5E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C2180">
        <w:rPr>
          <w:color w:val="595959" w:themeColor="text1" w:themeTint="A6"/>
        </w:rPr>
        <w:t>Bailey Wise,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EF80BD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44EEE">
        <w:rPr>
          <w:rFonts w:cs="Arial"/>
          <w:b/>
          <w:color w:val="595959" w:themeColor="text1" w:themeTint="A6"/>
          <w:szCs w:val="20"/>
        </w:rPr>
        <w:t>December 12, 2021</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518962F" w:rsidR="008730EB" w:rsidRPr="008730EB" w:rsidRDefault="00844E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9ADF546" w:rsidR="0035174D" w:rsidRPr="00145C63" w:rsidRDefault="00844EEE"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Characterize chronic graft-versus-host disease (GVHD) and describe its underlying pathophysiology</w:t>
      </w:r>
    </w:p>
    <w:p w14:paraId="193176A5" w14:textId="3B745B19" w:rsidR="004A294A" w:rsidRPr="00145C63" w:rsidRDefault="00844EEE"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current approach in the treatment of chronic GVHD</w:t>
      </w:r>
    </w:p>
    <w:p w14:paraId="19A14A12" w14:textId="6B497F82" w:rsidR="004A294A" w:rsidRPr="00145C63" w:rsidRDefault="00844EEE"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the literature on the recently approved therapies in the treatment of chronic GVHD</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6FB2078" w:rsidR="0013180C" w:rsidRPr="00145C63" w:rsidRDefault="00844EEE"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brand and generic names of new pharmacological agents used in treatment of chronic GVHD</w:t>
      </w:r>
    </w:p>
    <w:p w14:paraId="25EBC96A" w14:textId="3E07DB8C" w:rsidR="0013180C" w:rsidRPr="00145C63" w:rsidRDefault="00844EEE"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Review specific storage and dispensing information regarding oral agents used for chronic GVHD</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506AB1F"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844EEE">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906340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44EEE">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D0DBD">
        <w:rPr>
          <w:rFonts w:cs="Arial"/>
          <w:color w:val="595959" w:themeColor="text1" w:themeTint="A6"/>
        </w:rPr>
        <w:t>195</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087769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844EEE">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D0DBD">
        <w:rPr>
          <w:rFonts w:cs="Arial"/>
          <w:color w:val="595959" w:themeColor="text1" w:themeTint="A6"/>
        </w:rPr>
        <w:t>195</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C9DCC82" w:rsidR="00CB449D" w:rsidRPr="00145C63" w:rsidRDefault="002C1BBE" w:rsidP="00DD68D3">
      <w:pPr>
        <w:rPr>
          <w:b/>
          <w:color w:val="595959" w:themeColor="text1" w:themeTint="A6"/>
        </w:rPr>
      </w:pPr>
      <w:r>
        <w:rPr>
          <w:b/>
          <w:color w:val="595959" w:themeColor="text1" w:themeTint="A6"/>
        </w:rPr>
        <w:t>Breanne Peyton Thomas, PharmD, BCOP</w:t>
      </w:r>
    </w:p>
    <w:p w14:paraId="529DCE50" w14:textId="2F208A27" w:rsidR="00CB449D" w:rsidRPr="00145C63" w:rsidRDefault="002C1BBE" w:rsidP="00DD68D3">
      <w:pPr>
        <w:rPr>
          <w:color w:val="595959" w:themeColor="text1" w:themeTint="A6"/>
        </w:rPr>
      </w:pPr>
      <w:r>
        <w:rPr>
          <w:color w:val="595959" w:themeColor="text1" w:themeTint="A6"/>
        </w:rPr>
        <w:t>Clinical Oncology Pharmacist</w:t>
      </w:r>
    </w:p>
    <w:p w14:paraId="0B00B718" w14:textId="5DCF8118" w:rsidR="00CB449D" w:rsidRPr="00145C63" w:rsidRDefault="002C1BBE"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0F9CDA97" w:rsidR="00CB449D" w:rsidRPr="00145C63" w:rsidRDefault="002C1BBE" w:rsidP="00DD68D3">
      <w:pPr>
        <w:rPr>
          <w:b/>
          <w:color w:val="595959" w:themeColor="text1" w:themeTint="A6"/>
        </w:rPr>
      </w:pPr>
      <w:r>
        <w:rPr>
          <w:b/>
          <w:color w:val="595959" w:themeColor="text1" w:themeTint="A6"/>
        </w:rPr>
        <w:t>Bailey Wise, PharmD, BCPS</w:t>
      </w:r>
    </w:p>
    <w:p w14:paraId="2B34AFB1" w14:textId="766BD0B5" w:rsidR="00CB449D" w:rsidRPr="00145C63" w:rsidRDefault="002C1BBE" w:rsidP="00DD68D3">
      <w:pPr>
        <w:rPr>
          <w:color w:val="595959" w:themeColor="text1" w:themeTint="A6"/>
        </w:rPr>
      </w:pPr>
      <w:r>
        <w:rPr>
          <w:color w:val="595959" w:themeColor="text1" w:themeTint="A6"/>
        </w:rPr>
        <w:t>Clinical Pharmacist</w:t>
      </w:r>
    </w:p>
    <w:p w14:paraId="7A33D27D" w14:textId="77777777" w:rsidR="002C1BBE" w:rsidRPr="00145C63" w:rsidRDefault="002C1BBE" w:rsidP="002C1BBE">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530D4CFD"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69806BE" w14:textId="77777777" w:rsidR="00AC4446" w:rsidRPr="00A872A1" w:rsidRDefault="00AC4446" w:rsidP="00AC4446">
      <w:pPr>
        <w:rPr>
          <w:rFonts w:cs="Arial"/>
          <w:b/>
          <w:color w:val="595959" w:themeColor="text1" w:themeTint="A6"/>
        </w:rPr>
      </w:pPr>
      <w:r w:rsidRPr="00A872A1">
        <w:rPr>
          <w:rFonts w:cs="Arial"/>
          <w:b/>
          <w:color w:val="595959" w:themeColor="text1" w:themeTint="A6"/>
        </w:rPr>
        <w:t>Gretchen Brummel, PharmD, BCPS</w:t>
      </w:r>
    </w:p>
    <w:p w14:paraId="31478044" w14:textId="77777777" w:rsidR="00AC4446" w:rsidRDefault="00AC4446" w:rsidP="00AC4446">
      <w:pPr>
        <w:rPr>
          <w:rFonts w:cs="Arial"/>
          <w:color w:val="595959" w:themeColor="text1" w:themeTint="A6"/>
        </w:rPr>
      </w:pPr>
      <w:r>
        <w:rPr>
          <w:rFonts w:cs="Arial"/>
          <w:color w:val="595959" w:themeColor="text1" w:themeTint="A6"/>
        </w:rPr>
        <w:t>Consulting Director, Pharmacy</w:t>
      </w:r>
    </w:p>
    <w:p w14:paraId="1F1070FE" w14:textId="77777777" w:rsidR="00AC4446" w:rsidRPr="00266041" w:rsidRDefault="00AC4446" w:rsidP="00AC4446">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39390AA7"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53100FE" w:rsidR="00CB449D" w:rsidRPr="00145C63" w:rsidRDefault="002C1BBE" w:rsidP="00DD68D3">
      <w:pPr>
        <w:rPr>
          <w:b/>
          <w:color w:val="595959" w:themeColor="text1" w:themeTint="A6"/>
        </w:rPr>
      </w:pPr>
      <w:r>
        <w:rPr>
          <w:b/>
          <w:color w:val="595959" w:themeColor="text1" w:themeTint="A6"/>
        </w:rPr>
        <w:t>Iryna Mialik, PharmD</w:t>
      </w:r>
    </w:p>
    <w:p w14:paraId="69E43666" w14:textId="1DFAE3AC" w:rsidR="00CB449D" w:rsidRPr="00145C63" w:rsidRDefault="002C1BBE" w:rsidP="00DD68D3">
      <w:pPr>
        <w:rPr>
          <w:color w:val="595959" w:themeColor="text1" w:themeTint="A6"/>
        </w:rPr>
      </w:pPr>
      <w:r>
        <w:rPr>
          <w:color w:val="595959" w:themeColor="text1" w:themeTint="A6"/>
        </w:rPr>
        <w:t>PGY2 Hematology/Oncology Pharmacy Practice Resident</w:t>
      </w:r>
    </w:p>
    <w:p w14:paraId="3CFD0DF5" w14:textId="77777777" w:rsidR="002C1BBE" w:rsidRPr="00145C63" w:rsidRDefault="002C1BBE" w:rsidP="002C1BBE">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1BBE"/>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DBD"/>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44EEE"/>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4446"/>
    <w:rsid w:val="00AC7093"/>
    <w:rsid w:val="00AC76C2"/>
    <w:rsid w:val="00AD6E51"/>
    <w:rsid w:val="00AE11CE"/>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2180"/>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UsageMapping/>
</file>

<file path=customXml/item4.xml><?xml version="1.0" encoding="utf-8"?>
<AllExternalAdhocVariableMappings/>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2021-09-28T17:26:00Z</dcterms:created>
  <dcterms:modified xsi:type="dcterms:W3CDTF">2021-09-28T18:03:00Z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