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C43B642" w:rsidR="00423054" w:rsidRPr="00E50346" w:rsidRDefault="00A24A26" w:rsidP="00D6051F">
      <w:pPr>
        <w:pStyle w:val="Heading"/>
      </w:pPr>
      <w:r>
        <w:t>Leveraging the Electronic Health Record to Promote Diagnostic and Antimicrobial Stewardship</w:t>
      </w:r>
    </w:p>
    <w:p w14:paraId="0D0DC3CD" w14:textId="3866F0B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70AAB">
        <w:rPr>
          <w:color w:val="595959" w:themeColor="text1" w:themeTint="A6"/>
        </w:rPr>
        <w:t>November 1</w:t>
      </w:r>
      <w:r w:rsidR="00A24A26">
        <w:rPr>
          <w:color w:val="595959" w:themeColor="text1" w:themeTint="A6"/>
        </w:rPr>
        <w:t>9</w:t>
      </w:r>
      <w:r w:rsidR="00670AAB">
        <w:rPr>
          <w:color w:val="595959" w:themeColor="text1" w:themeTint="A6"/>
        </w:rPr>
        <w:t>, 2020</w:t>
      </w:r>
    </w:p>
    <w:p w14:paraId="641D3E3A" w14:textId="7BBAE8D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70AAB">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96BD42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70AAB">
        <w:rPr>
          <w:rFonts w:cs="Arial"/>
          <w:b/>
          <w:color w:val="595959" w:themeColor="text1" w:themeTint="A6"/>
          <w:szCs w:val="20"/>
        </w:rPr>
        <w:t xml:space="preserve">January </w:t>
      </w:r>
      <w:r w:rsidR="00C14ABB">
        <w:rPr>
          <w:rFonts w:cs="Arial"/>
          <w:b/>
          <w:color w:val="595959" w:themeColor="text1" w:themeTint="A6"/>
          <w:szCs w:val="20"/>
        </w:rPr>
        <w:t>4</w:t>
      </w:r>
      <w:r w:rsidR="00670AAB">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38687D88" w:rsidR="008730EB" w:rsidRPr="008730EB" w:rsidRDefault="00670AAB"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65DAEB4" w:rsidR="0035174D" w:rsidRPr="00145C63" w:rsidRDefault="00C14ABB"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Describe how a clinical decision support system can be used to improve </w:t>
      </w:r>
      <w:r w:rsidRPr="00C14ABB">
        <w:rPr>
          <w:rFonts w:eastAsia="Calibri" w:cs="Arial"/>
          <w:i/>
          <w:iCs/>
          <w:color w:val="595959" w:themeColor="text1" w:themeTint="A6"/>
          <w:szCs w:val="20"/>
        </w:rPr>
        <w:t>C. difficile</w:t>
      </w:r>
      <w:r>
        <w:rPr>
          <w:rFonts w:eastAsia="Calibri" w:cs="Arial"/>
          <w:color w:val="595959" w:themeColor="text1" w:themeTint="A6"/>
          <w:szCs w:val="20"/>
        </w:rPr>
        <w:t xml:space="preserve"> diagnostic test stewardship</w:t>
      </w:r>
    </w:p>
    <w:p w14:paraId="193176A5" w14:textId="0900D715" w:rsidR="004A294A" w:rsidRPr="00145C63" w:rsidRDefault="00C14ABB"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Outline how a clinical decision support system can alert clinicians of stewardship opportunities while remaining FTE neutral</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318DF0A4" w14:textId="7FFD6D2C" w:rsidR="00670AAB" w:rsidRPr="00670AAB" w:rsidRDefault="00C14ABB" w:rsidP="00525AEB">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 xml:space="preserve">Identify the importance of antimicrobial stewardship and </w:t>
      </w:r>
      <w:r w:rsidR="00D96DE9">
        <w:rPr>
          <w:rFonts w:eastAsia="Calibri" w:cs="Arial"/>
          <w:color w:val="595959" w:themeColor="text1" w:themeTint="A6"/>
          <w:szCs w:val="20"/>
        </w:rPr>
        <w:t>EHR</w:t>
      </w:r>
      <w:r>
        <w:rPr>
          <w:rFonts w:eastAsia="Calibri" w:cs="Arial"/>
          <w:color w:val="595959" w:themeColor="text1" w:themeTint="A6"/>
          <w:szCs w:val="20"/>
        </w:rPr>
        <w:t xml:space="preserve"> capabilities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F6A21FB"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C37F8B">
        <w:rPr>
          <w:rFonts w:cs="Arial"/>
          <w:color w:val="595959" w:themeColor="text1" w:themeTint="A6"/>
        </w:rPr>
        <w:t>20</w:t>
      </w:r>
      <w:r w:rsidR="00D96DE9">
        <w:rPr>
          <w:rFonts w:cs="Arial"/>
          <w:color w:val="595959" w:themeColor="text1" w:themeTint="A6"/>
        </w:rPr>
        <w:t>1</w:t>
      </w:r>
      <w:r w:rsidRPr="00145C63">
        <w:rPr>
          <w:rFonts w:cs="Arial"/>
          <w:color w:val="595959" w:themeColor="text1" w:themeTint="A6"/>
        </w:rPr>
        <w:t>-L0</w:t>
      </w:r>
      <w:r w:rsidR="00D96DE9">
        <w:rPr>
          <w:rFonts w:cs="Arial"/>
          <w:color w:val="595959" w:themeColor="text1" w:themeTint="A6"/>
        </w:rPr>
        <w:t>5</w:t>
      </w:r>
      <w:r w:rsidRPr="00145C63">
        <w:rPr>
          <w:rFonts w:cs="Arial"/>
          <w:color w:val="595959" w:themeColor="text1" w:themeTint="A6"/>
        </w:rPr>
        <w:t>-P</w:t>
      </w:r>
    </w:p>
    <w:p w14:paraId="2FFAF152" w14:textId="1ADECF4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C37F8B">
        <w:rPr>
          <w:rFonts w:cs="Arial"/>
          <w:color w:val="595959" w:themeColor="text1" w:themeTint="A6"/>
        </w:rPr>
        <w:t>20</w:t>
      </w:r>
      <w:r w:rsidR="00D96DE9">
        <w:rPr>
          <w:rFonts w:cs="Arial"/>
          <w:color w:val="595959" w:themeColor="text1" w:themeTint="A6"/>
        </w:rPr>
        <w:t>1</w:t>
      </w:r>
      <w:r w:rsidRPr="00145C63">
        <w:rPr>
          <w:rFonts w:cs="Arial"/>
          <w:color w:val="595959" w:themeColor="text1" w:themeTint="A6"/>
        </w:rPr>
        <w:t>-L0</w:t>
      </w:r>
      <w:r w:rsidR="00D96DE9">
        <w:rPr>
          <w:rFonts w:cs="Arial"/>
          <w:color w:val="595959" w:themeColor="text1" w:themeTint="A6"/>
        </w:rPr>
        <w:t>5</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41D86DD4" w14:textId="3A72A3DA" w:rsidR="00C37F8B" w:rsidRDefault="00C37F8B" w:rsidP="00C37F8B">
      <w:pPr>
        <w:pStyle w:val="Heading3"/>
        <w:spacing w:before="0"/>
        <w:rPr>
          <w:rFonts w:cs="Arial"/>
          <w:b w:val="0"/>
          <w:bCs w:val="0"/>
          <w:color w:val="01ADAB"/>
          <w:sz w:val="24"/>
        </w:rPr>
      </w:pPr>
    </w:p>
    <w:p w14:paraId="5B04BF41" w14:textId="602A1161" w:rsidR="00991039" w:rsidRDefault="00991039" w:rsidP="00991039"/>
    <w:p w14:paraId="48E99E3D" w14:textId="77777777" w:rsidR="00991039" w:rsidRPr="00991039" w:rsidRDefault="00991039" w:rsidP="00991039"/>
    <w:p w14:paraId="01680F72" w14:textId="726334CF" w:rsidR="00CB449D" w:rsidRDefault="00CB449D" w:rsidP="00C37F8B">
      <w:pPr>
        <w:pStyle w:val="Heading3"/>
        <w:spacing w:before="0"/>
        <w:rPr>
          <w:rFonts w:cs="Arial"/>
          <w:b w:val="0"/>
          <w:bCs w:val="0"/>
          <w:color w:val="01ADAB"/>
          <w:sz w:val="24"/>
        </w:rPr>
      </w:pPr>
      <w:r>
        <w:rPr>
          <w:rFonts w:cs="Arial"/>
          <w:b w:val="0"/>
          <w:bCs w:val="0"/>
          <w:color w:val="01ADAB"/>
          <w:sz w:val="24"/>
        </w:rPr>
        <w:lastRenderedPageBreak/>
        <w:t>Planning committee members</w:t>
      </w:r>
    </w:p>
    <w:p w14:paraId="62EDD9D1" w14:textId="77777777" w:rsidR="00D96DE9" w:rsidRPr="00D96DE9" w:rsidRDefault="00D96DE9" w:rsidP="00D96DE9"/>
    <w:p w14:paraId="7FAE090A" w14:textId="57AB9F88" w:rsidR="00CB449D" w:rsidRPr="00145C63" w:rsidRDefault="00C37F8B" w:rsidP="00C37F8B">
      <w:pPr>
        <w:rPr>
          <w:b/>
          <w:color w:val="595959" w:themeColor="text1" w:themeTint="A6"/>
        </w:rPr>
      </w:pPr>
      <w:r>
        <w:rPr>
          <w:b/>
          <w:color w:val="595959" w:themeColor="text1" w:themeTint="A6"/>
        </w:rPr>
        <w:t>Gretchen Brummel, PharmD, BCPS</w:t>
      </w:r>
    </w:p>
    <w:p w14:paraId="529DCE50" w14:textId="7C7DF9B3" w:rsidR="00CB449D" w:rsidRPr="00145C63" w:rsidRDefault="00C37F8B" w:rsidP="00C37F8B">
      <w:pPr>
        <w:rPr>
          <w:color w:val="595959" w:themeColor="text1" w:themeTint="A6"/>
        </w:rPr>
      </w:pPr>
      <w:r>
        <w:rPr>
          <w:color w:val="595959" w:themeColor="text1" w:themeTint="A6"/>
        </w:rPr>
        <w:t>Consulting Director, Pharmacy</w:t>
      </w:r>
    </w:p>
    <w:p w14:paraId="0B00B718" w14:textId="5A104602" w:rsidR="00CB449D" w:rsidRPr="00145C63" w:rsidRDefault="00C37F8B" w:rsidP="00C37F8B">
      <w:pPr>
        <w:rPr>
          <w:color w:val="595959" w:themeColor="text1" w:themeTint="A6"/>
        </w:rPr>
      </w:pPr>
      <w:r>
        <w:rPr>
          <w:color w:val="595959" w:themeColor="text1" w:themeTint="A6"/>
        </w:rPr>
        <w:t>Vizient</w:t>
      </w:r>
    </w:p>
    <w:p w14:paraId="357CDA01" w14:textId="77777777" w:rsidR="00CB449D" w:rsidRPr="00CB449D" w:rsidRDefault="00CB449D" w:rsidP="00C37F8B">
      <w:pPr>
        <w:rPr>
          <w:color w:val="7F7F7F" w:themeColor="text1" w:themeTint="80"/>
        </w:rPr>
      </w:pPr>
    </w:p>
    <w:p w14:paraId="11C41A61" w14:textId="728B6F2B" w:rsidR="00CB449D" w:rsidRPr="00145C63" w:rsidRDefault="00C37F8B" w:rsidP="00C37F8B">
      <w:pPr>
        <w:rPr>
          <w:b/>
          <w:color w:val="595959" w:themeColor="text1" w:themeTint="A6"/>
        </w:rPr>
      </w:pPr>
      <w:r>
        <w:rPr>
          <w:b/>
          <w:color w:val="595959" w:themeColor="text1" w:themeTint="A6"/>
        </w:rPr>
        <w:t>Jackie Stokes, BS</w:t>
      </w:r>
    </w:p>
    <w:p w14:paraId="2B34AFB1" w14:textId="7DE11A7A" w:rsidR="00CB449D" w:rsidRPr="00145C63" w:rsidRDefault="00C37F8B" w:rsidP="00C37F8B">
      <w:pPr>
        <w:rPr>
          <w:color w:val="595959" w:themeColor="text1" w:themeTint="A6"/>
        </w:rPr>
      </w:pPr>
      <w:r>
        <w:rPr>
          <w:color w:val="595959" w:themeColor="text1" w:themeTint="A6"/>
        </w:rPr>
        <w:t>Manager, Pharmacy Program Services</w:t>
      </w:r>
    </w:p>
    <w:p w14:paraId="03C79355" w14:textId="77777777" w:rsidR="00C37F8B" w:rsidRPr="00145C63" w:rsidRDefault="00C37F8B" w:rsidP="00C37F8B">
      <w:pPr>
        <w:rPr>
          <w:color w:val="595959" w:themeColor="text1" w:themeTint="A6"/>
        </w:rPr>
      </w:pPr>
      <w:r>
        <w:rPr>
          <w:color w:val="595959" w:themeColor="text1" w:themeTint="A6"/>
        </w:rPr>
        <w:t>Vizient</w:t>
      </w:r>
    </w:p>
    <w:p w14:paraId="2E4B3623" w14:textId="77777777" w:rsidR="00CB449D" w:rsidRPr="00145C63" w:rsidRDefault="00CB449D" w:rsidP="00C37F8B">
      <w:pPr>
        <w:rPr>
          <w:color w:val="595959" w:themeColor="text1" w:themeTint="A6"/>
        </w:rPr>
      </w:pPr>
    </w:p>
    <w:p w14:paraId="30F378A1" w14:textId="59CA0110" w:rsidR="00CB449D" w:rsidRDefault="00CB449D" w:rsidP="00C37F8B">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3597B05C" w14:textId="77777777" w:rsidR="00D96DE9" w:rsidRPr="00D96DE9" w:rsidRDefault="00D96DE9" w:rsidP="00D96DE9"/>
    <w:p w14:paraId="294E85E4" w14:textId="77777777" w:rsidR="00C37F8B" w:rsidRPr="00145C63" w:rsidRDefault="00C37F8B" w:rsidP="00C37F8B">
      <w:pPr>
        <w:rPr>
          <w:b/>
          <w:color w:val="595959" w:themeColor="text1" w:themeTint="A6"/>
        </w:rPr>
      </w:pPr>
      <w:r>
        <w:rPr>
          <w:b/>
          <w:color w:val="595959" w:themeColor="text1" w:themeTint="A6"/>
        </w:rPr>
        <w:t>Gretchen Brummel, PharmD, BCPS</w:t>
      </w:r>
    </w:p>
    <w:p w14:paraId="4473421C" w14:textId="77777777" w:rsidR="00C37F8B" w:rsidRPr="00145C63" w:rsidRDefault="00C37F8B" w:rsidP="00C37F8B">
      <w:pPr>
        <w:rPr>
          <w:color w:val="595959" w:themeColor="text1" w:themeTint="A6"/>
        </w:rPr>
      </w:pPr>
      <w:r>
        <w:rPr>
          <w:color w:val="595959" w:themeColor="text1" w:themeTint="A6"/>
        </w:rPr>
        <w:t>Consulting Director, Pharmacy</w:t>
      </w:r>
    </w:p>
    <w:p w14:paraId="14BC148D" w14:textId="77777777" w:rsidR="00C37F8B" w:rsidRPr="00145C63" w:rsidRDefault="00C37F8B" w:rsidP="00C37F8B">
      <w:pPr>
        <w:rPr>
          <w:color w:val="595959" w:themeColor="text1" w:themeTint="A6"/>
        </w:rPr>
      </w:pPr>
      <w:r>
        <w:rPr>
          <w:color w:val="595959" w:themeColor="text1" w:themeTint="A6"/>
        </w:rPr>
        <w:t>Vizient</w:t>
      </w:r>
    </w:p>
    <w:p w14:paraId="1E3DD910" w14:textId="77777777" w:rsidR="00CB449D" w:rsidRPr="00145C63" w:rsidRDefault="00CB449D" w:rsidP="00C37F8B">
      <w:pPr>
        <w:rPr>
          <w:color w:val="595959" w:themeColor="text1" w:themeTint="A6"/>
        </w:rPr>
      </w:pPr>
    </w:p>
    <w:p w14:paraId="7E02880C" w14:textId="17558254" w:rsidR="00CB449D" w:rsidRDefault="00CB449D" w:rsidP="00C37F8B">
      <w:pPr>
        <w:pStyle w:val="Heading3"/>
        <w:spacing w:before="0"/>
        <w:rPr>
          <w:rFonts w:cs="Arial"/>
          <w:b w:val="0"/>
          <w:bCs w:val="0"/>
          <w:color w:val="01ADAB"/>
          <w:sz w:val="24"/>
        </w:rPr>
      </w:pPr>
      <w:r>
        <w:rPr>
          <w:rFonts w:cs="Arial"/>
          <w:b w:val="0"/>
          <w:bCs w:val="0"/>
          <w:color w:val="01ADAB"/>
          <w:sz w:val="24"/>
        </w:rPr>
        <w:t>Presenters</w:t>
      </w:r>
    </w:p>
    <w:p w14:paraId="4675A03D" w14:textId="77777777" w:rsidR="00D96DE9" w:rsidRPr="00D96DE9" w:rsidRDefault="00D96DE9" w:rsidP="00D96DE9"/>
    <w:p w14:paraId="422A3FF3" w14:textId="3ECEA594" w:rsidR="00CB449D" w:rsidRPr="00145C63" w:rsidRDefault="00D96DE9" w:rsidP="00C37F8B">
      <w:pPr>
        <w:rPr>
          <w:b/>
          <w:color w:val="595959" w:themeColor="text1" w:themeTint="A6"/>
        </w:rPr>
      </w:pPr>
      <w:r>
        <w:rPr>
          <w:b/>
          <w:color w:val="595959" w:themeColor="text1" w:themeTint="A6"/>
        </w:rPr>
        <w:t>Catherine Liu, MD</w:t>
      </w:r>
    </w:p>
    <w:p w14:paraId="69E43666" w14:textId="6AD1A675" w:rsidR="00CB449D" w:rsidRPr="00145C63" w:rsidRDefault="00D96DE9" w:rsidP="00C37F8B">
      <w:pPr>
        <w:rPr>
          <w:color w:val="595959" w:themeColor="text1" w:themeTint="A6"/>
        </w:rPr>
      </w:pPr>
      <w:r>
        <w:rPr>
          <w:color w:val="595959" w:themeColor="text1" w:themeTint="A6"/>
        </w:rPr>
        <w:t>Associate Professor, Vaccine and Infectious Disease and Clinical Research Division</w:t>
      </w:r>
    </w:p>
    <w:p w14:paraId="7307E12F" w14:textId="6DA264B0" w:rsidR="00CB449D" w:rsidRPr="00145C63" w:rsidRDefault="00D96DE9" w:rsidP="00C37F8B">
      <w:pPr>
        <w:rPr>
          <w:color w:val="595959" w:themeColor="text1" w:themeTint="A6"/>
        </w:rPr>
      </w:pPr>
      <w:r>
        <w:rPr>
          <w:color w:val="595959" w:themeColor="text1" w:themeTint="A6"/>
        </w:rPr>
        <w:t>Fred Hutchinson Cancer Research Center</w:t>
      </w:r>
    </w:p>
    <w:p w14:paraId="1056CB21" w14:textId="77777777" w:rsidR="00CB449D" w:rsidRPr="00145C63" w:rsidRDefault="00CB449D" w:rsidP="00C37F8B">
      <w:pPr>
        <w:rPr>
          <w:color w:val="595959" w:themeColor="text1" w:themeTint="A6"/>
        </w:rPr>
      </w:pPr>
    </w:p>
    <w:p w14:paraId="6CBB589F" w14:textId="7FE8F21F" w:rsidR="00CB449D" w:rsidRDefault="00D96DE9" w:rsidP="00C37F8B">
      <w:pPr>
        <w:rPr>
          <w:b/>
          <w:color w:val="595959" w:themeColor="text1" w:themeTint="A6"/>
        </w:rPr>
      </w:pPr>
      <w:r>
        <w:rPr>
          <w:b/>
          <w:color w:val="595959" w:themeColor="text1" w:themeTint="A6"/>
        </w:rPr>
        <w:t>Ashlee Hamel, PharmD, BCPS</w:t>
      </w:r>
    </w:p>
    <w:p w14:paraId="38D28653" w14:textId="6442FB6F" w:rsidR="00C37F8B" w:rsidRPr="00C37F8B" w:rsidRDefault="00D96DE9" w:rsidP="00C37F8B">
      <w:pPr>
        <w:rPr>
          <w:bCs/>
          <w:color w:val="595959" w:themeColor="text1" w:themeTint="A6"/>
        </w:rPr>
      </w:pPr>
      <w:r>
        <w:rPr>
          <w:bCs/>
          <w:color w:val="595959" w:themeColor="text1" w:themeTint="A6"/>
        </w:rPr>
        <w:t>System Manager, Pharmacy Clinical Programs</w:t>
      </w:r>
    </w:p>
    <w:p w14:paraId="77B9C697" w14:textId="64E9082B" w:rsidR="00C37F8B" w:rsidRDefault="00D96DE9" w:rsidP="00C37F8B">
      <w:pPr>
        <w:rPr>
          <w:bCs/>
          <w:color w:val="595959" w:themeColor="text1" w:themeTint="A6"/>
        </w:rPr>
      </w:pPr>
      <w:r>
        <w:rPr>
          <w:bCs/>
          <w:color w:val="595959" w:themeColor="text1" w:themeTint="A6"/>
        </w:rPr>
        <w:t>Sentara Healthcare</w:t>
      </w:r>
    </w:p>
    <w:p w14:paraId="5AEB5434" w14:textId="110A2F07" w:rsidR="005779B2" w:rsidRDefault="005779B2" w:rsidP="00C37F8B">
      <w:pPr>
        <w:rPr>
          <w:bCs/>
          <w:color w:val="595959" w:themeColor="text1" w:themeTint="A6"/>
        </w:rPr>
      </w:pPr>
    </w:p>
    <w:p w14:paraId="4EBAD4BE" w14:textId="3BF42653" w:rsidR="005779B2" w:rsidRPr="005779B2" w:rsidRDefault="005779B2" w:rsidP="00C37F8B">
      <w:pPr>
        <w:rPr>
          <w:b/>
          <w:color w:val="595959" w:themeColor="text1" w:themeTint="A6"/>
        </w:rPr>
      </w:pPr>
      <w:r w:rsidRPr="005779B2">
        <w:rPr>
          <w:b/>
          <w:color w:val="595959" w:themeColor="text1" w:themeTint="A6"/>
        </w:rPr>
        <w:t xml:space="preserve">Chris </w:t>
      </w:r>
      <w:proofErr w:type="spellStart"/>
      <w:r w:rsidRPr="005779B2">
        <w:rPr>
          <w:b/>
          <w:color w:val="595959" w:themeColor="text1" w:themeTint="A6"/>
        </w:rPr>
        <w:t>Tagliente</w:t>
      </w:r>
      <w:proofErr w:type="spellEnd"/>
      <w:r w:rsidRPr="005779B2">
        <w:rPr>
          <w:b/>
          <w:color w:val="595959" w:themeColor="text1" w:themeTint="A6"/>
        </w:rPr>
        <w:t>, PharmD, BCPS</w:t>
      </w:r>
    </w:p>
    <w:p w14:paraId="6E5D00DE" w14:textId="0AC59B10" w:rsidR="005779B2" w:rsidRPr="00C37F8B" w:rsidRDefault="005779B2" w:rsidP="005779B2">
      <w:pPr>
        <w:rPr>
          <w:bCs/>
          <w:color w:val="595959" w:themeColor="text1" w:themeTint="A6"/>
        </w:rPr>
      </w:pPr>
      <w:r>
        <w:rPr>
          <w:bCs/>
          <w:color w:val="595959" w:themeColor="text1" w:themeTint="A6"/>
        </w:rPr>
        <w:t>System</w:t>
      </w:r>
      <w:r>
        <w:rPr>
          <w:bCs/>
          <w:color w:val="595959" w:themeColor="text1" w:themeTint="A6"/>
        </w:rPr>
        <w:t xml:space="preserve"> Director</w:t>
      </w:r>
      <w:r>
        <w:rPr>
          <w:bCs/>
          <w:color w:val="595959" w:themeColor="text1" w:themeTint="A6"/>
        </w:rPr>
        <w:t>, Pharmacy Clinical Programs</w:t>
      </w:r>
    </w:p>
    <w:p w14:paraId="206F1A17" w14:textId="19597D8D" w:rsidR="005779B2" w:rsidRDefault="005779B2" w:rsidP="00C37F8B">
      <w:pPr>
        <w:rPr>
          <w:bCs/>
          <w:color w:val="595959" w:themeColor="text1" w:themeTint="A6"/>
        </w:rPr>
      </w:pPr>
      <w:r>
        <w:rPr>
          <w:bCs/>
          <w:color w:val="595959" w:themeColor="text1" w:themeTint="A6"/>
        </w:rPr>
        <w:t>Sentara Healthcare</w:t>
      </w:r>
    </w:p>
    <w:p w14:paraId="57BDFE96" w14:textId="77777777" w:rsidR="005779B2" w:rsidRPr="00C37F8B" w:rsidRDefault="005779B2" w:rsidP="00C37F8B">
      <w:pPr>
        <w:rPr>
          <w:bCs/>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779B2"/>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0AAB"/>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91039"/>
    <w:rsid w:val="009A27BF"/>
    <w:rsid w:val="009A7E1B"/>
    <w:rsid w:val="009A7E9D"/>
    <w:rsid w:val="009B2BA5"/>
    <w:rsid w:val="009B6D1A"/>
    <w:rsid w:val="009D4020"/>
    <w:rsid w:val="009F4A49"/>
    <w:rsid w:val="00A00028"/>
    <w:rsid w:val="00A24A26"/>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14ABB"/>
    <w:rsid w:val="00C205E3"/>
    <w:rsid w:val="00C36F35"/>
    <w:rsid w:val="00C370B8"/>
    <w:rsid w:val="00C37F8B"/>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6DE9"/>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SourceDataModel Name="System" TargetDataSourceId="00b80028-d226-4a39-9a19-6787589aad19"/>
</file>

<file path=customXml/item15.xml><?xml version="1.0" encoding="utf-8"?>
<AllWordPDs>
</AllWordPDs>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DocPartTree/>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AD_HOC" displayName="AD_HOC" id="9426ea6f-1b24-4683-bca3-85d71f6375fd" isdomainofvalue="False" dataSourceId="80be7e5f-6e71-448c-9228-23264555308c"/>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AllExternalAdhocVariableMapping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UsageMapping/>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ourceDataModel Name="AD_HOC" TargetDataSourceId="80be7e5f-6e71-448c-9228-23264555308c"/>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AllMetadata/>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2020-10-06T18:07:00Z</dcterms:created>
  <dcterms:modified xsi:type="dcterms:W3CDTF">2020-10-13T14:56:00Z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