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DC2B76" w:rsidP="00D6051F">
      <w:pPr>
        <w:pStyle w:val="Heading"/>
      </w:pPr>
      <w:r>
        <w:t>Pharmacokinetics, Therapeutic Drug Monitoring, and Pharmacogenetics of Antifungals</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33050F">
        <w:rPr>
          <w:color w:val="595959" w:themeColor="text1" w:themeTint="A6"/>
        </w:rPr>
        <w:t>April 7</w:t>
      </w:r>
      <w:r w:rsidR="00DC2B76">
        <w:rPr>
          <w:color w:val="595959" w:themeColor="text1" w:themeTint="A6"/>
        </w:rPr>
        <w:t>,</w:t>
      </w:r>
      <w:r w:rsidR="00382AB7">
        <w:rPr>
          <w:color w:val="595959" w:themeColor="text1" w:themeTint="A6"/>
        </w:rPr>
        <w:t xml:space="preserve"> 2020</w:t>
      </w:r>
    </w:p>
    <w:p w:rsidR="002753AF" w:rsidRDefault="0013180C" w:rsidP="001602E9">
      <w:pPr>
        <w:pStyle w:val="BodyText1"/>
        <w:spacing w:after="240"/>
        <w:rPr>
          <w:color w:val="595959" w:themeColor="text1" w:themeTint="A6"/>
        </w:rPr>
      </w:pPr>
      <w:r w:rsidRPr="00787BD0">
        <w:rPr>
          <w:color w:val="595959" w:themeColor="text1" w:themeTint="A6"/>
        </w:rPr>
        <w:t xml:space="preserve">Course director: </w:t>
      </w:r>
      <w:r w:rsidR="00DC2B76">
        <w:rPr>
          <w:color w:val="595959" w:themeColor="text1" w:themeTint="A6"/>
        </w:rPr>
        <w:t>Jacob Wellen, PharmD</w:t>
      </w:r>
    </w:p>
    <w:p w:rsidR="008730EB" w:rsidRPr="00787BD0" w:rsidRDefault="008730EB" w:rsidP="001602E9">
      <w:pPr>
        <w:pStyle w:val="BodyText1"/>
        <w:spacing w:after="240"/>
        <w:rPr>
          <w:color w:val="595959" w:themeColor="text1" w:themeTint="A6"/>
        </w:rPr>
      </w:pPr>
      <w:r w:rsidRPr="00787BD0">
        <w:rPr>
          <w:color w:val="595959" w:themeColor="text1" w:themeTint="A6"/>
        </w:rPr>
        <w:t>Vizient is committed to complying with the criteria set forth by the accredit</w:t>
      </w:r>
      <w:r w:rsidR="004B0F88" w:rsidRPr="00787BD0">
        <w:rPr>
          <w:color w:val="595959" w:themeColor="text1" w:themeTint="A6"/>
        </w:rPr>
        <w:t>ing</w:t>
      </w:r>
      <w:r w:rsidRPr="00787BD0">
        <w:rPr>
          <w:color w:val="595959" w:themeColor="text1" w:themeTint="A6"/>
        </w:rPr>
        <w:t xml:space="preserve"> agencies in order to provide this quality </w:t>
      </w:r>
      <w:r w:rsidR="00ED0769" w:rsidRPr="00787BD0">
        <w:rPr>
          <w:color w:val="595959" w:themeColor="text1" w:themeTint="A6"/>
        </w:rPr>
        <w:t>course</w:t>
      </w:r>
      <w:r w:rsidRPr="00787BD0">
        <w:rPr>
          <w:color w:val="595959" w:themeColor="text1" w:themeTint="A6"/>
        </w:rPr>
        <w:t xml:space="preserve">.  To receive credit for educational activities, you must successfully complete all </w:t>
      </w:r>
      <w:r w:rsidR="00ED0769" w:rsidRPr="00787BD0">
        <w:rPr>
          <w:color w:val="595959" w:themeColor="text1" w:themeTint="A6"/>
        </w:rPr>
        <w:t>course</w:t>
      </w:r>
      <w:r w:rsidRPr="00787BD0">
        <w:rPr>
          <w:color w:val="595959" w:themeColor="text1" w:themeTint="A6"/>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33050F"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33050F">
        <w:rPr>
          <w:rFonts w:cs="Arial"/>
          <w:b/>
          <w:color w:val="595959" w:themeColor="text1" w:themeTint="A6"/>
          <w:szCs w:val="20"/>
        </w:rPr>
        <w:t xml:space="preserve">Complete the </w:t>
      </w:r>
      <w:r w:rsidR="00F4230E" w:rsidRPr="0033050F">
        <w:rPr>
          <w:rFonts w:cs="Arial"/>
          <w:b/>
          <w:color w:val="595959" w:themeColor="text1" w:themeTint="A6"/>
          <w:szCs w:val="20"/>
        </w:rPr>
        <w:t xml:space="preserve">process </w:t>
      </w:r>
      <w:r w:rsidRPr="0033050F">
        <w:rPr>
          <w:rFonts w:cs="Arial"/>
          <w:b/>
          <w:color w:val="595959" w:themeColor="text1" w:themeTint="A6"/>
          <w:szCs w:val="20"/>
        </w:rPr>
        <w:t xml:space="preserve">no later than </w:t>
      </w:r>
      <w:r w:rsidR="00805122" w:rsidRPr="0033050F">
        <w:rPr>
          <w:rFonts w:cs="Arial"/>
          <w:b/>
          <w:color w:val="595959" w:themeColor="text1" w:themeTint="A6"/>
          <w:szCs w:val="20"/>
        </w:rPr>
        <w:t>Ma</w:t>
      </w:r>
      <w:r w:rsidR="0033050F" w:rsidRPr="0033050F">
        <w:rPr>
          <w:rFonts w:cs="Arial"/>
          <w:b/>
          <w:color w:val="595959" w:themeColor="text1" w:themeTint="A6"/>
          <w:szCs w:val="20"/>
        </w:rPr>
        <w:t>y</w:t>
      </w:r>
      <w:r w:rsidR="00805122" w:rsidRPr="0033050F">
        <w:rPr>
          <w:rFonts w:cs="Arial"/>
          <w:b/>
          <w:color w:val="595959" w:themeColor="text1" w:themeTint="A6"/>
          <w:szCs w:val="20"/>
        </w:rPr>
        <w:t xml:space="preserve"> </w:t>
      </w:r>
      <w:r w:rsidR="00FB6589" w:rsidRPr="0033050F">
        <w:rPr>
          <w:rFonts w:cs="Arial"/>
          <w:b/>
          <w:color w:val="595959" w:themeColor="text1" w:themeTint="A6"/>
          <w:szCs w:val="20"/>
        </w:rPr>
        <w:t>22</w:t>
      </w:r>
      <w:r w:rsidR="00787BD0" w:rsidRPr="0033050F">
        <w:rPr>
          <w:rFonts w:cs="Arial"/>
          <w:b/>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33050F">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 xml:space="preserve">All credit awarded to pharmacists </w:t>
      </w:r>
      <w:r w:rsidR="0033050F">
        <w:rPr>
          <w:rFonts w:cs="Arial"/>
          <w:color w:val="595959" w:themeColor="text1" w:themeTint="A6"/>
        </w:rPr>
        <w:t xml:space="preserve">and pharmacy technicians </w:t>
      </w:r>
      <w:r w:rsidRPr="00787BD0">
        <w:rPr>
          <w:rFonts w:cs="Arial"/>
          <w:color w:val="595959" w:themeColor="text1" w:themeTint="A6"/>
        </w:rPr>
        <w:t xml:space="preserve">must be via CPE Monitor; paper certificates are not valid for submission.  Pharmacists </w:t>
      </w:r>
      <w:r w:rsidR="0033050F">
        <w:rPr>
          <w:rFonts w:cs="Arial"/>
          <w:color w:val="595959" w:themeColor="text1" w:themeTint="A6"/>
        </w:rPr>
        <w:t xml:space="preserve">and pharmacy technicians </w:t>
      </w:r>
      <w:r w:rsidRPr="00787BD0">
        <w:rPr>
          <w:rFonts w:cs="Arial"/>
          <w:color w:val="595959" w:themeColor="text1" w:themeTint="A6"/>
        </w:rPr>
        <w:t>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33050F"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787BD0" w:rsidRDefault="004639BE" w:rsidP="005C5387">
      <w:pPr>
        <w:pStyle w:val="ListParagraph"/>
        <w:numPr>
          <w:ilvl w:val="0"/>
          <w:numId w:val="40"/>
        </w:numPr>
        <w:rPr>
          <w:rFonts w:eastAsia="Calibri" w:cs="Arial"/>
          <w:i/>
          <w:color w:val="595959" w:themeColor="text1" w:themeTint="A6"/>
          <w:szCs w:val="20"/>
        </w:rPr>
      </w:pPr>
      <w:r>
        <w:rPr>
          <w:rFonts w:eastAsia="Calibri" w:cs="Arial"/>
          <w:color w:val="595959" w:themeColor="text1" w:themeTint="A6"/>
          <w:szCs w:val="20"/>
        </w:rPr>
        <w:t>Recommend an appropriate empiric antifungal therapy</w:t>
      </w:r>
    </w:p>
    <w:p w:rsidR="004A294A" w:rsidRPr="00787BD0" w:rsidRDefault="004639BE" w:rsidP="005C5387">
      <w:pPr>
        <w:pStyle w:val="ListParagraph"/>
        <w:numPr>
          <w:ilvl w:val="0"/>
          <w:numId w:val="40"/>
        </w:numPr>
        <w:rPr>
          <w:rFonts w:cs="Arial"/>
          <w:color w:val="595959" w:themeColor="text1" w:themeTint="A6"/>
          <w:szCs w:val="20"/>
        </w:rPr>
      </w:pPr>
      <w:r>
        <w:rPr>
          <w:rFonts w:cs="Arial"/>
          <w:color w:val="595959" w:themeColor="text1" w:themeTint="A6"/>
          <w:szCs w:val="20"/>
        </w:rPr>
        <w:t xml:space="preserve">Perform therapeutic drug monitoring for </w:t>
      </w:r>
      <w:proofErr w:type="spellStart"/>
      <w:r>
        <w:rPr>
          <w:rFonts w:cs="Arial"/>
          <w:color w:val="595959" w:themeColor="text1" w:themeTint="A6"/>
          <w:szCs w:val="20"/>
        </w:rPr>
        <w:t>flucytosine</w:t>
      </w:r>
      <w:proofErr w:type="spellEnd"/>
      <w:r>
        <w:rPr>
          <w:rFonts w:cs="Arial"/>
          <w:color w:val="595959" w:themeColor="text1" w:themeTint="A6"/>
          <w:szCs w:val="20"/>
        </w:rPr>
        <w:t xml:space="preserve">, </w:t>
      </w:r>
      <w:proofErr w:type="spellStart"/>
      <w:r>
        <w:rPr>
          <w:rFonts w:cs="Arial"/>
          <w:color w:val="595959" w:themeColor="text1" w:themeTint="A6"/>
          <w:szCs w:val="20"/>
        </w:rPr>
        <w:t>voriconazole</w:t>
      </w:r>
      <w:proofErr w:type="spellEnd"/>
      <w:r>
        <w:rPr>
          <w:rFonts w:cs="Arial"/>
          <w:color w:val="595959" w:themeColor="text1" w:themeTint="A6"/>
          <w:szCs w:val="20"/>
        </w:rPr>
        <w:t xml:space="preserve">, </w:t>
      </w:r>
      <w:proofErr w:type="spellStart"/>
      <w:r>
        <w:rPr>
          <w:rFonts w:cs="Arial"/>
          <w:color w:val="595959" w:themeColor="text1" w:themeTint="A6"/>
          <w:szCs w:val="20"/>
        </w:rPr>
        <w:t>posaconazole</w:t>
      </w:r>
      <w:proofErr w:type="spellEnd"/>
      <w:r>
        <w:rPr>
          <w:rFonts w:cs="Arial"/>
          <w:color w:val="595959" w:themeColor="text1" w:themeTint="A6"/>
          <w:szCs w:val="20"/>
        </w:rPr>
        <w:t xml:space="preserve">, and </w:t>
      </w:r>
      <w:proofErr w:type="spellStart"/>
      <w:r>
        <w:rPr>
          <w:rFonts w:cs="Arial"/>
          <w:color w:val="595959" w:themeColor="text1" w:themeTint="A6"/>
          <w:szCs w:val="20"/>
        </w:rPr>
        <w:t>isavuconazole</w:t>
      </w:r>
      <w:proofErr w:type="spellEnd"/>
    </w:p>
    <w:p w:rsidR="00F72C61" w:rsidRDefault="004639BE" w:rsidP="00E37FD9">
      <w:pPr>
        <w:pStyle w:val="ListParagraph"/>
        <w:numPr>
          <w:ilvl w:val="0"/>
          <w:numId w:val="40"/>
        </w:numPr>
        <w:rPr>
          <w:rFonts w:cs="Arial"/>
          <w:color w:val="595959" w:themeColor="text1" w:themeTint="A6"/>
          <w:szCs w:val="20"/>
        </w:rPr>
      </w:pPr>
      <w:r>
        <w:rPr>
          <w:rFonts w:cs="Arial"/>
          <w:color w:val="595959" w:themeColor="text1" w:themeTint="A6"/>
          <w:szCs w:val="20"/>
        </w:rPr>
        <w:t>Identify patients that may benefit from genetic testing</w:t>
      </w:r>
    </w:p>
    <w:p w:rsidR="00E37FD9" w:rsidRDefault="004639BE" w:rsidP="00BF5D3C">
      <w:pPr>
        <w:pStyle w:val="ListParagraph"/>
        <w:numPr>
          <w:ilvl w:val="0"/>
          <w:numId w:val="40"/>
        </w:numPr>
        <w:rPr>
          <w:color w:val="595959" w:themeColor="text1" w:themeTint="A6"/>
        </w:rPr>
      </w:pPr>
      <w:r>
        <w:rPr>
          <w:color w:val="595959" w:themeColor="text1" w:themeTint="A6"/>
        </w:rPr>
        <w:t>Utilize appropriate resources to provide therapeutic recommendations based on genetic information</w:t>
      </w:r>
    </w:p>
    <w:p w:rsidR="0033050F" w:rsidRPr="008730EB" w:rsidRDefault="0033050F" w:rsidP="0033050F">
      <w:pPr>
        <w:spacing w:after="120"/>
        <w:rPr>
          <w:rFonts w:cs="Arial"/>
          <w:b/>
          <w:color w:val="01ADAB"/>
          <w:sz w:val="24"/>
        </w:rPr>
      </w:pPr>
      <w:r>
        <w:rPr>
          <w:rFonts w:cs="Arial"/>
          <w:b/>
          <w:color w:val="01ADAB"/>
          <w:sz w:val="24"/>
        </w:rPr>
        <w:t>Pharmac</w:t>
      </w:r>
      <w:r>
        <w:rPr>
          <w:rFonts w:cs="Arial"/>
          <w:b/>
          <w:color w:val="01ADAB"/>
          <w:sz w:val="24"/>
        </w:rPr>
        <w:t>y technician</w:t>
      </w:r>
      <w:r>
        <w:rPr>
          <w:rFonts w:cs="Arial"/>
          <w:b/>
          <w:color w:val="01ADAB"/>
          <w:sz w:val="24"/>
        </w:rPr>
        <w:t xml:space="preserve"> l</w:t>
      </w:r>
      <w:r w:rsidRPr="008730EB">
        <w:rPr>
          <w:rFonts w:cs="Arial"/>
          <w:b/>
          <w:color w:val="01ADAB"/>
          <w:sz w:val="24"/>
        </w:rPr>
        <w:t>earning objectives</w:t>
      </w:r>
    </w:p>
    <w:p w:rsidR="0033050F" w:rsidRPr="0033050F" w:rsidRDefault="0033050F" w:rsidP="0033050F">
      <w:pPr>
        <w:pStyle w:val="ListParagraph"/>
        <w:numPr>
          <w:ilvl w:val="0"/>
          <w:numId w:val="47"/>
        </w:numPr>
        <w:ind w:left="360"/>
      </w:pPr>
      <w:r w:rsidRPr="0033050F">
        <w:rPr>
          <w:rFonts w:asciiTheme="minorHAnsi" w:eastAsia="Calibri" w:hAnsiTheme="minorHAnsi" w:cstheme="minorHAnsi"/>
          <w:color w:val="696969" w:themeColor="text2"/>
          <w:szCs w:val="20"/>
        </w:rPr>
        <w:t>Identify antifungals used in the highest risk patients, to insure timely dispensing and distribution to the patient</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proofErr w:type="spellStart"/>
      <w:r w:rsidR="004639BE">
        <w:rPr>
          <w:rFonts w:cs="Arial"/>
          <w:color w:val="595959" w:themeColor="text1" w:themeTint="A6"/>
        </w:rPr>
        <w:t>ChristianaCare</w:t>
      </w:r>
      <w:proofErr w:type="spellEnd"/>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4639BE">
        <w:rPr>
          <w:rFonts w:cs="Arial"/>
          <w:color w:val="595959" w:themeColor="text1" w:themeTint="A6"/>
        </w:rPr>
        <w:t>0</w:t>
      </w:r>
      <w:r w:rsidR="005E603B">
        <w:rPr>
          <w:rFonts w:cs="Arial"/>
          <w:color w:val="595959" w:themeColor="text1" w:themeTint="A6"/>
        </w:rPr>
        <w:t>5</w:t>
      </w:r>
      <w:r w:rsidR="004639BE">
        <w:rPr>
          <w:rFonts w:cs="Arial"/>
          <w:color w:val="595959" w:themeColor="text1" w:themeTint="A6"/>
        </w:rPr>
        <w:t>1</w:t>
      </w:r>
      <w:r w:rsidRPr="00787BD0">
        <w:rPr>
          <w:rFonts w:cs="Arial"/>
          <w:color w:val="595959" w:themeColor="text1" w:themeTint="A6"/>
        </w:rPr>
        <w:t>-L0</w:t>
      </w:r>
      <w:r w:rsidR="001602E9">
        <w:rPr>
          <w:rFonts w:cs="Arial"/>
          <w:color w:val="595959" w:themeColor="text1" w:themeTint="A6"/>
        </w:rPr>
        <w:t>1</w:t>
      </w:r>
      <w:r w:rsidRPr="00787BD0">
        <w:rPr>
          <w:rFonts w:cs="Arial"/>
          <w:color w:val="595959" w:themeColor="text1" w:themeTint="A6"/>
        </w:rPr>
        <w:t>-P</w:t>
      </w:r>
    </w:p>
    <w:p w:rsidR="0033050F" w:rsidRDefault="0033050F" w:rsidP="00C9605F">
      <w:pPr>
        <w:rPr>
          <w:rFonts w:cs="Arial"/>
          <w:color w:val="595959" w:themeColor="text1" w:themeTint="A6"/>
        </w:rPr>
      </w:pPr>
      <w:r>
        <w:rPr>
          <w:rFonts w:cs="Arial"/>
          <w:color w:val="595959" w:themeColor="text1" w:themeTint="A6"/>
        </w:rPr>
        <w:t>Universal Activity Number: JA0006103-9999-20-0</w:t>
      </w:r>
      <w:r w:rsidR="006810AC">
        <w:rPr>
          <w:rFonts w:cs="Arial"/>
          <w:color w:val="595959" w:themeColor="text1" w:themeTint="A6"/>
        </w:rPr>
        <w:t>5</w:t>
      </w:r>
      <w:r>
        <w:rPr>
          <w:rFonts w:cs="Arial"/>
          <w:color w:val="595959" w:themeColor="text1" w:themeTint="A6"/>
        </w:rPr>
        <w:t>1-L01-T</w:t>
      </w:r>
    </w:p>
    <w:p w:rsidR="006810AC" w:rsidRDefault="006810AC" w:rsidP="006810AC">
      <w:pPr>
        <w:pStyle w:val="Heading3"/>
        <w:spacing w:before="0"/>
        <w:rPr>
          <w:rFonts w:cs="Arial"/>
          <w:color w:val="595959" w:themeColor="text1" w:themeTint="A6"/>
        </w:rPr>
      </w:pPr>
    </w:p>
    <w:p w:rsidR="006810AC" w:rsidRPr="006810AC" w:rsidRDefault="00C9605F" w:rsidP="006810AC">
      <w:pPr>
        <w:pStyle w:val="Heading3"/>
        <w:spacing w:before="0"/>
        <w:rPr>
          <w:rFonts w:cs="Arial"/>
          <w:color w:val="595959" w:themeColor="text1" w:themeTint="A6"/>
        </w:rPr>
      </w:pPr>
      <w:r w:rsidRPr="006810AC">
        <w:rPr>
          <w:rFonts w:cs="Arial"/>
          <w:color w:val="595959" w:themeColor="text1" w:themeTint="A6"/>
        </w:rPr>
        <w:t>CEU</w:t>
      </w:r>
      <w:bookmarkStart w:id="0" w:name="_GoBack"/>
      <w:bookmarkEnd w:id="0"/>
    </w:p>
    <w:p w:rsidR="00C9605F" w:rsidRPr="006810AC" w:rsidRDefault="00C9605F" w:rsidP="006810AC">
      <w:pPr>
        <w:pStyle w:val="Heading3"/>
        <w:spacing w:before="0"/>
        <w:rPr>
          <w:rFonts w:cs="Arial"/>
          <w:b w:val="0"/>
          <w:color w:val="595959" w:themeColor="text1" w:themeTint="A6"/>
          <w:szCs w:val="20"/>
        </w:rPr>
      </w:pPr>
      <w:r w:rsidRPr="006810AC">
        <w:rPr>
          <w:rFonts w:cs="Arial"/>
          <w:b w:val="0"/>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BF5D3C" w:rsidRPr="0033050F" w:rsidRDefault="00CB449D" w:rsidP="00CB449D">
      <w:pPr>
        <w:spacing w:before="120"/>
        <w:rPr>
          <w:rFonts w:cs="Arial"/>
          <w:bCs/>
          <w:color w:val="595959" w:themeColor="text1" w:themeTint="A6"/>
          <w:szCs w:val="20"/>
        </w:rPr>
      </w:pPr>
      <w:r w:rsidRPr="0033050F">
        <w:rPr>
          <w:rFonts w:cs="Arial"/>
          <w:bCs/>
          <w:color w:val="595959" w:themeColor="text1" w:themeTint="A6"/>
          <w:szCs w:val="20"/>
        </w:rPr>
        <w:t xml:space="preserve">Relevant financial relationships: </w:t>
      </w:r>
      <w:r w:rsidR="00BF5D3C" w:rsidRPr="0033050F">
        <w:rPr>
          <w:rFonts w:cs="Arial"/>
          <w:bCs/>
          <w:color w:val="595959" w:themeColor="text1" w:themeTint="A6"/>
          <w:szCs w:val="20"/>
        </w:rPr>
        <w:t>Planning committee and the presenter have nothing to disclose</w:t>
      </w:r>
    </w:p>
    <w:p w:rsidR="00CB449D" w:rsidRPr="0033050F" w:rsidRDefault="00BF5D3C" w:rsidP="00CB449D">
      <w:pPr>
        <w:spacing w:before="120"/>
        <w:rPr>
          <w:rFonts w:cs="Arial"/>
          <w:bCs/>
          <w:color w:val="595959" w:themeColor="text1" w:themeTint="A6"/>
          <w:szCs w:val="20"/>
        </w:rPr>
      </w:pPr>
      <w:r w:rsidRPr="0033050F">
        <w:rPr>
          <w:rFonts w:cs="Arial"/>
          <w:bCs/>
          <w:color w:val="595959" w:themeColor="text1" w:themeTint="A6"/>
          <w:szCs w:val="20"/>
        </w:rPr>
        <w:t>The presenter will discuss off-label use of drugs</w:t>
      </w:r>
      <w:r w:rsidR="00CB449D" w:rsidRPr="0033050F">
        <w:rPr>
          <w:rFonts w:cs="Arial"/>
          <w:bCs/>
          <w:color w:val="595959" w:themeColor="text1" w:themeTint="A6"/>
          <w:szCs w:val="20"/>
        </w:rPr>
        <w:t xml:space="preserve"> </w:t>
      </w:r>
    </w:p>
    <w:p w:rsidR="00787BD0" w:rsidRDefault="00787BD0" w:rsidP="00CB449D">
      <w:pPr>
        <w:pStyle w:val="Heading3"/>
        <w:spacing w:before="240" w:after="120"/>
        <w:rPr>
          <w:rFonts w:cs="Arial"/>
          <w:b w:val="0"/>
          <w:bCs w:val="0"/>
          <w:color w:val="01ADAB"/>
          <w:sz w:val="24"/>
        </w:rPr>
      </w:pPr>
    </w:p>
    <w:p w:rsidR="00CB449D" w:rsidRDefault="00CB449D" w:rsidP="0033050F">
      <w:pPr>
        <w:pStyle w:val="Heading3"/>
        <w:spacing w:before="0"/>
        <w:rPr>
          <w:rFonts w:cs="Arial"/>
          <w:b w:val="0"/>
          <w:bCs w:val="0"/>
          <w:color w:val="01ADAB"/>
          <w:sz w:val="24"/>
        </w:rPr>
      </w:pPr>
      <w:r>
        <w:rPr>
          <w:rFonts w:cs="Arial"/>
          <w:b w:val="0"/>
          <w:bCs w:val="0"/>
          <w:color w:val="01ADAB"/>
          <w:sz w:val="24"/>
        </w:rPr>
        <w:t>Planning committee members</w:t>
      </w:r>
    </w:p>
    <w:p w:rsidR="0033050F" w:rsidRPr="0033050F" w:rsidRDefault="0033050F" w:rsidP="0033050F"/>
    <w:p w:rsidR="00CB449D" w:rsidRPr="00787BD0" w:rsidRDefault="004639BE" w:rsidP="0033050F">
      <w:pPr>
        <w:rPr>
          <w:b/>
          <w:color w:val="595959" w:themeColor="text1" w:themeTint="A6"/>
        </w:rPr>
      </w:pPr>
      <w:r>
        <w:rPr>
          <w:b/>
          <w:color w:val="595959" w:themeColor="text1" w:themeTint="A6"/>
        </w:rPr>
        <w:t>Nicole Harrington, PharmD, BCPS-AQ</w:t>
      </w:r>
    </w:p>
    <w:p w:rsidR="00787BD0" w:rsidRPr="00787BD0" w:rsidRDefault="004639BE" w:rsidP="0033050F">
      <w:pPr>
        <w:rPr>
          <w:color w:val="595959" w:themeColor="text1" w:themeTint="A6"/>
        </w:rPr>
      </w:pPr>
      <w:r>
        <w:rPr>
          <w:color w:val="595959" w:themeColor="text1" w:themeTint="A6"/>
        </w:rPr>
        <w:t>Clinical Pharmacy Specialist, Infectious Diseases</w:t>
      </w:r>
    </w:p>
    <w:p w:rsidR="00787BD0" w:rsidRDefault="004639BE" w:rsidP="0033050F">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33050F" w:rsidRDefault="0033050F" w:rsidP="0033050F">
      <w:pPr>
        <w:rPr>
          <w:color w:val="595959" w:themeColor="text1" w:themeTint="A6"/>
        </w:rPr>
      </w:pPr>
    </w:p>
    <w:p w:rsidR="0033050F" w:rsidRPr="00787BD0" w:rsidRDefault="0033050F" w:rsidP="0033050F">
      <w:pPr>
        <w:rPr>
          <w:b/>
          <w:color w:val="595959" w:themeColor="text1" w:themeTint="A6"/>
        </w:rPr>
      </w:pPr>
      <w:r>
        <w:rPr>
          <w:b/>
          <w:color w:val="595959" w:themeColor="text1" w:themeTint="A6"/>
        </w:rPr>
        <w:t>Jacob Wellen, PharmD</w:t>
      </w:r>
      <w:r>
        <w:rPr>
          <w:b/>
          <w:color w:val="595959" w:themeColor="text1" w:themeTint="A6"/>
        </w:rPr>
        <w:tab/>
      </w:r>
    </w:p>
    <w:p w:rsidR="0033050F" w:rsidRPr="00787BD0" w:rsidRDefault="0033050F" w:rsidP="0033050F">
      <w:pPr>
        <w:rPr>
          <w:color w:val="595959" w:themeColor="text1" w:themeTint="A6"/>
        </w:rPr>
      </w:pPr>
      <w:r>
        <w:rPr>
          <w:color w:val="595959" w:themeColor="text1" w:themeTint="A6"/>
        </w:rPr>
        <w:t>Pharmacist</w:t>
      </w:r>
    </w:p>
    <w:p w:rsidR="0033050F" w:rsidRDefault="0033050F" w:rsidP="0033050F">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037918" w:rsidRDefault="00037918" w:rsidP="0033050F">
      <w:pPr>
        <w:rPr>
          <w:color w:val="595959" w:themeColor="text1" w:themeTint="A6"/>
        </w:rPr>
      </w:pPr>
    </w:p>
    <w:p w:rsidR="00037918" w:rsidRPr="00787BD0" w:rsidRDefault="00037918" w:rsidP="0033050F">
      <w:pPr>
        <w:rPr>
          <w:color w:val="595959" w:themeColor="text1" w:themeTint="A6"/>
        </w:rPr>
      </w:pPr>
    </w:p>
    <w:p w:rsidR="00CB449D" w:rsidRDefault="00787BD0" w:rsidP="0033050F">
      <w:pPr>
        <w:pStyle w:val="Heading3"/>
        <w:spacing w:before="0"/>
        <w:rPr>
          <w:rFonts w:cs="Arial"/>
          <w:b w:val="0"/>
          <w:bCs w:val="0"/>
          <w:color w:val="01ADAB"/>
          <w:sz w:val="24"/>
        </w:rPr>
      </w:pPr>
      <w:r>
        <w:rPr>
          <w:rFonts w:cs="Arial"/>
          <w:b w:val="0"/>
          <w:bCs w:val="0"/>
          <w:color w:val="01ADAB"/>
          <w:sz w:val="24"/>
        </w:rPr>
        <w:t>Course reviewer</w:t>
      </w:r>
    </w:p>
    <w:p w:rsidR="0033050F" w:rsidRPr="0033050F" w:rsidRDefault="0033050F" w:rsidP="0033050F"/>
    <w:p w:rsidR="004201BF" w:rsidRPr="006231C5" w:rsidRDefault="004201BF" w:rsidP="0033050F">
      <w:pPr>
        <w:rPr>
          <w:rFonts w:ascii="Courier New" w:hAnsi="Courier New" w:cs="Courier New"/>
          <w:b/>
          <w:color w:val="595959" w:themeColor="text1" w:themeTint="A6"/>
          <w:szCs w:val="20"/>
        </w:rPr>
      </w:pPr>
      <w:r w:rsidRPr="006231C5">
        <w:rPr>
          <w:rFonts w:cs="Arial"/>
          <w:b/>
          <w:color w:val="595959" w:themeColor="text1" w:themeTint="A6"/>
          <w:szCs w:val="20"/>
        </w:rPr>
        <w:t>Katrina K. Harper, PharmD, MBA, BCPS, BCSCP</w:t>
      </w:r>
    </w:p>
    <w:p w:rsidR="004201BF" w:rsidRDefault="004201BF" w:rsidP="0033050F">
      <w:pPr>
        <w:rPr>
          <w:rFonts w:cs="Arial"/>
          <w:color w:val="696969"/>
          <w:szCs w:val="20"/>
        </w:rPr>
      </w:pPr>
      <w:r>
        <w:rPr>
          <w:rFonts w:cs="Arial"/>
          <w:color w:val="696969"/>
          <w:szCs w:val="20"/>
        </w:rPr>
        <w:t xml:space="preserve">Clinical Pharmacy Director, Sourcing Operations </w:t>
      </w:r>
    </w:p>
    <w:p w:rsidR="004201BF" w:rsidRDefault="004201BF" w:rsidP="0033050F">
      <w:pPr>
        <w:rPr>
          <w:rFonts w:cs="Arial"/>
          <w:color w:val="696969"/>
          <w:szCs w:val="20"/>
        </w:rPr>
      </w:pPr>
      <w:r>
        <w:rPr>
          <w:rFonts w:cs="Arial"/>
          <w:color w:val="696969"/>
          <w:szCs w:val="20"/>
        </w:rPr>
        <w:t>Center for Pharmacy Practice Excellence</w:t>
      </w:r>
    </w:p>
    <w:p w:rsidR="004201BF" w:rsidRDefault="004201BF" w:rsidP="0033050F">
      <w:pPr>
        <w:rPr>
          <w:rFonts w:cs="Arial"/>
          <w:color w:val="696969"/>
          <w:szCs w:val="20"/>
        </w:rPr>
      </w:pPr>
      <w:r>
        <w:rPr>
          <w:rFonts w:cs="Arial"/>
          <w:color w:val="696969"/>
          <w:szCs w:val="20"/>
        </w:rPr>
        <w:t>Vizient</w:t>
      </w:r>
    </w:p>
    <w:p w:rsidR="00CB449D" w:rsidRDefault="00CB449D" w:rsidP="0033050F"/>
    <w:p w:rsidR="00CB449D" w:rsidRDefault="00CB449D" w:rsidP="0033050F"/>
    <w:p w:rsidR="00CB449D" w:rsidRDefault="008E3BFD" w:rsidP="0033050F">
      <w:pPr>
        <w:pStyle w:val="Heading3"/>
        <w:spacing w:before="0"/>
        <w:rPr>
          <w:rFonts w:cs="Arial"/>
          <w:b w:val="0"/>
          <w:bCs w:val="0"/>
          <w:color w:val="01ADAB"/>
          <w:sz w:val="24"/>
        </w:rPr>
      </w:pPr>
      <w:r>
        <w:rPr>
          <w:rFonts w:cs="Arial"/>
          <w:b w:val="0"/>
          <w:bCs w:val="0"/>
          <w:color w:val="01ADAB"/>
          <w:sz w:val="24"/>
        </w:rPr>
        <w:t>Presenter</w:t>
      </w:r>
    </w:p>
    <w:p w:rsidR="0033050F" w:rsidRPr="0033050F" w:rsidRDefault="0033050F" w:rsidP="0033050F"/>
    <w:p w:rsidR="00BF5D3C" w:rsidRPr="00787BD0" w:rsidRDefault="004639BE" w:rsidP="0033050F">
      <w:pPr>
        <w:rPr>
          <w:b/>
          <w:color w:val="595959" w:themeColor="text1" w:themeTint="A6"/>
        </w:rPr>
      </w:pPr>
      <w:r>
        <w:rPr>
          <w:b/>
          <w:color w:val="595959" w:themeColor="text1" w:themeTint="A6"/>
        </w:rPr>
        <w:t>Jacob Wellen, PharmD</w:t>
      </w:r>
      <w:r>
        <w:rPr>
          <w:b/>
          <w:color w:val="595959" w:themeColor="text1" w:themeTint="A6"/>
        </w:rPr>
        <w:tab/>
      </w:r>
    </w:p>
    <w:p w:rsidR="00BF5D3C" w:rsidRPr="00787BD0" w:rsidRDefault="004639BE" w:rsidP="0033050F">
      <w:pPr>
        <w:rPr>
          <w:color w:val="595959" w:themeColor="text1" w:themeTint="A6"/>
        </w:rPr>
      </w:pPr>
      <w:r>
        <w:rPr>
          <w:color w:val="595959" w:themeColor="text1" w:themeTint="A6"/>
        </w:rPr>
        <w:t>Pharmacist</w:t>
      </w:r>
    </w:p>
    <w:p w:rsidR="004639BE" w:rsidRDefault="004639BE" w:rsidP="0033050F">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5B7"/>
    <w:multiLevelType w:val="hybridMultilevel"/>
    <w:tmpl w:val="8BA2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1"/>
  </w:num>
  <w:num w:numId="9">
    <w:abstractNumId w:val="37"/>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40"/>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3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02E9"/>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753AF"/>
    <w:rsid w:val="0029361D"/>
    <w:rsid w:val="002B3983"/>
    <w:rsid w:val="002C549F"/>
    <w:rsid w:val="002D0D3A"/>
    <w:rsid w:val="002D2FCE"/>
    <w:rsid w:val="002E26E9"/>
    <w:rsid w:val="002E5346"/>
    <w:rsid w:val="00307785"/>
    <w:rsid w:val="00312693"/>
    <w:rsid w:val="00315D23"/>
    <w:rsid w:val="00316BC2"/>
    <w:rsid w:val="003259A5"/>
    <w:rsid w:val="0033050F"/>
    <w:rsid w:val="00330B71"/>
    <w:rsid w:val="003404C7"/>
    <w:rsid w:val="00350D84"/>
    <w:rsid w:val="0035174D"/>
    <w:rsid w:val="003539AF"/>
    <w:rsid w:val="003764AF"/>
    <w:rsid w:val="00380106"/>
    <w:rsid w:val="00382AB7"/>
    <w:rsid w:val="003943A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01BF"/>
    <w:rsid w:val="00423054"/>
    <w:rsid w:val="00423B4D"/>
    <w:rsid w:val="00435E61"/>
    <w:rsid w:val="0043610D"/>
    <w:rsid w:val="004463DA"/>
    <w:rsid w:val="00452B25"/>
    <w:rsid w:val="004639BE"/>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603B"/>
    <w:rsid w:val="005F37E5"/>
    <w:rsid w:val="005F3EA9"/>
    <w:rsid w:val="005F53FC"/>
    <w:rsid w:val="005F7196"/>
    <w:rsid w:val="00607C19"/>
    <w:rsid w:val="00612814"/>
    <w:rsid w:val="0063036E"/>
    <w:rsid w:val="00636E51"/>
    <w:rsid w:val="00642B45"/>
    <w:rsid w:val="00654283"/>
    <w:rsid w:val="006775CF"/>
    <w:rsid w:val="006810AC"/>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E7584"/>
    <w:rsid w:val="007F2200"/>
    <w:rsid w:val="007F42A3"/>
    <w:rsid w:val="007F7B52"/>
    <w:rsid w:val="0080512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BF5D3C"/>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C2B76"/>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B6589"/>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VariableListDefinition name="Computed" displayName="Computed" id="69155e26-4760-488b-ab4c-bb15b0f8b2a2" isdomainofvalue="False" dataSourceId="87651697-ca1f-4d80-9f69-bb743e325714"/>
</file>

<file path=customXml/item11.xml><?xml version="1.0" encoding="utf-8"?>
<DocPartTree/>
</file>

<file path=customXml/item12.xml><?xml version="1.0" encoding="utf-8"?>
<VariableUsageMapping/>
</file>

<file path=customXml/item13.xml><?xml version="1.0" encoding="utf-8"?>
<AllWordPDs>
</AllWordPDs>
</file>

<file path=customXml/item14.xml><?xml version="1.0" encoding="utf-8"?>
<SourceDataModel Name="System" TargetDataSourceId="00b80028-d226-4a39-9a19-6787589aad19"/>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AllMetadata/>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VariableListDefinition name="AD_HOC" displayName="AD_HOC" id="9426ea6f-1b24-4683-bca3-85d71f6375fd" isdomainofvalue="False" dataSourceId="80be7e5f-6e71-448c-9228-23264555308c"/>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SourceDataModel Name="Computed" TargetDataSourceId="87651697-ca1f-4d80-9f69-bb743e325714"/>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SourceDataModel Name="AD_HOC" TargetDataSourceId="80be7e5f-6e71-448c-9228-23264555308c"/>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AllExternalAdhocVariableMappings/>
</file>

<file path=customXml/item8.xml><?xml version="1.0" encoding="utf-8"?>
<VariableListDefinition name="System" displayName="System" id="dc9731b4-d0d2-4ed5-b20d-434d69de1706" isdomainofvalue="False" dataSourceId="00b80028-d226-4a39-9a19-6787589aad19"/>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5BEF3205-EB69-4E70-BFE8-AFB1DD2B0B96}">
  <ds:schemaRefs>
    <ds:schemaRef ds:uri="http://schemas.microsoft.com/office/2006/documentManagement/types"/>
    <ds:schemaRef ds:uri="fff2b044-c74a-4bd8-8e92-b14b9b13b2b5"/>
    <ds:schemaRef ds:uri="http://purl.org/dc/elements/1.1/"/>
    <ds:schemaRef ds:uri="http://schemas.microsoft.com/office/infopath/2007/PartnerControls"/>
    <ds:schemaRef ds:uri="0b2929d2-a33e-45c9-980d-b30e626659d9"/>
    <ds:schemaRef ds:uri="http://schemas.openxmlformats.org/package/2006/metadata/core-properties"/>
    <ds:schemaRef ds:uri="http://schemas.microsoft.com/sharepoint/v3"/>
    <ds:schemaRef ds:uri="1de6e417-ba3b-42be-b14a-7f4cb43c809f"/>
    <ds:schemaRef ds:uri="http://purl.org/dc/terms/"/>
    <ds:schemaRef ds:uri="http://schemas.microsoft.com/sharepoint/v3/fields"/>
    <ds:schemaRef ds:uri="01e59a59-e903-4787-b1b4-4a99956146ec"/>
    <ds:schemaRef ds:uri="http://schemas.microsoft.com/office/2006/metadata/properties"/>
    <ds:schemaRef ds:uri="http://www.w3.org/XML/1998/namespace"/>
    <ds:schemaRef ds:uri="http://purl.org/dc/dcmitype/"/>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9452BED9-DEC0-4EC5-B921-FB0737CFBD3C}">
  <ds:schemaRefs>
    <ds:schemaRef ds:uri="http://schemas.openxmlformats.org/officeDocument/2006/bibliography"/>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2020-01-13T14:08:00Z</dcterms:created>
  <dcterms:modified xsi:type="dcterms:W3CDTF">2020-03-06T17:54:00Z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