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7E72CE" w:rsidRDefault="00E743CF" w:rsidP="007E72CE">
      <w:pPr>
        <w:pStyle w:val="Heading"/>
      </w:pPr>
      <w:r w:rsidRPr="007E72CE">
        <w:t>Is the Weight Finally Over?</w:t>
      </w:r>
      <w:r w:rsidR="0047099C">
        <w:t>:</w:t>
      </w:r>
      <w:bookmarkStart w:id="0" w:name="_GoBack"/>
      <w:bookmarkEnd w:id="0"/>
      <w:r w:rsidRPr="007E72CE">
        <w:t xml:space="preserve"> Evaluation of Fixed-Dose versus Weight Based Dosing Strategies of 4-Factor Prothrombin Complex Concentrate</w:t>
      </w:r>
    </w:p>
    <w:p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E743CF">
        <w:rPr>
          <w:color w:val="595959" w:themeColor="text1" w:themeTint="A6"/>
        </w:rPr>
        <w:t>March 3, 2020</w:t>
      </w:r>
    </w:p>
    <w:p w:rsidR="00EA13B8" w:rsidRPr="00145C63" w:rsidRDefault="00E743CF" w:rsidP="00423054">
      <w:pPr>
        <w:pStyle w:val="BodyText1"/>
        <w:rPr>
          <w:color w:val="595959" w:themeColor="text1" w:themeTint="A6"/>
        </w:rPr>
      </w:pPr>
      <w:r>
        <w:rPr>
          <w:color w:val="595959" w:themeColor="text1" w:themeTint="A6"/>
        </w:rPr>
        <w:t>Course director: Katelyn McCormick, PharmD, BCPS</w:t>
      </w:r>
    </w:p>
    <w:p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rsidR="00EA13B8" w:rsidRPr="009E4E2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9E4E20">
        <w:rPr>
          <w:rFonts w:cs="Arial"/>
          <w:b/>
          <w:color w:val="595959" w:themeColor="text1" w:themeTint="A6"/>
          <w:szCs w:val="20"/>
        </w:rPr>
        <w:t xml:space="preserve">Complete the </w:t>
      </w:r>
      <w:r w:rsidR="00F4230E" w:rsidRPr="009E4E20">
        <w:rPr>
          <w:rFonts w:cs="Arial"/>
          <w:b/>
          <w:color w:val="595959" w:themeColor="text1" w:themeTint="A6"/>
          <w:szCs w:val="20"/>
        </w:rPr>
        <w:t xml:space="preserve">process </w:t>
      </w:r>
      <w:r w:rsidRPr="009E4E20">
        <w:rPr>
          <w:rFonts w:cs="Arial"/>
          <w:b/>
          <w:color w:val="595959" w:themeColor="text1" w:themeTint="A6"/>
          <w:szCs w:val="20"/>
        </w:rPr>
        <w:t xml:space="preserve">no later than </w:t>
      </w:r>
      <w:r w:rsidR="009E4E20" w:rsidRPr="009E4E20">
        <w:rPr>
          <w:rFonts w:cs="Arial"/>
          <w:b/>
          <w:color w:val="595959" w:themeColor="text1" w:themeTint="A6"/>
          <w:szCs w:val="20"/>
        </w:rPr>
        <w:t>April 16, 2020</w:t>
      </w:r>
    </w:p>
    <w:p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w:t>
      </w:r>
      <w:proofErr w:type="spellStart"/>
      <w:r w:rsidRPr="00145C63">
        <w:rPr>
          <w:rFonts w:cs="Arial"/>
          <w:b/>
          <w:color w:val="595959" w:themeColor="text1" w:themeTint="A6"/>
          <w:szCs w:val="20"/>
          <w:u w:val="single"/>
        </w:rPr>
        <w:t>dd</w:t>
      </w:r>
      <w:proofErr w:type="spellEnd"/>
      <w:r w:rsidRPr="00145C63">
        <w:rPr>
          <w:rFonts w:cs="Arial"/>
          <w:color w:val="595959" w:themeColor="text1" w:themeTint="A6"/>
          <w:szCs w:val="20"/>
        </w:rPr>
        <w:t xml:space="preserve"> – do not include birth year)</w:t>
      </w:r>
    </w:p>
    <w:p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rsidR="008730EB" w:rsidRPr="000211DF" w:rsidRDefault="008730EB" w:rsidP="008730EB">
      <w:pPr>
        <w:rPr>
          <w:rFonts w:cs="Arial"/>
          <w:szCs w:val="20"/>
        </w:rPr>
      </w:pPr>
    </w:p>
    <w:p w:rsidR="008730EB" w:rsidRPr="008730EB" w:rsidRDefault="009E4E20"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35174D" w:rsidRPr="00145C63" w:rsidRDefault="009E4E20"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Summarize the pharmacology of 4-F PCC</w:t>
      </w:r>
    </w:p>
    <w:p w:rsidR="004A294A" w:rsidRPr="00145C63" w:rsidRDefault="009E4E20"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State the differences between fixed dosing and weight based dosing 4-F PCC</w:t>
      </w:r>
    </w:p>
    <w:p w:rsidR="004A294A" w:rsidRPr="00145C63" w:rsidRDefault="009E4E20"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Describe the efficacy and safety of each dosing strategy</w:t>
      </w:r>
    </w:p>
    <w:p w:rsidR="007E72CE" w:rsidRDefault="009E4E20" w:rsidP="00B410EA">
      <w:pPr>
        <w:pStyle w:val="ListParagraph"/>
        <w:numPr>
          <w:ilvl w:val="0"/>
          <w:numId w:val="40"/>
        </w:numPr>
        <w:spacing w:after="120"/>
        <w:ind w:left="360"/>
        <w:rPr>
          <w:color w:val="595959" w:themeColor="text1" w:themeTint="A6"/>
        </w:rPr>
      </w:pPr>
      <w:r w:rsidRPr="007E72CE">
        <w:rPr>
          <w:color w:val="595959" w:themeColor="text1" w:themeTint="A6"/>
        </w:rPr>
        <w:t>Apply the literature to clinical scenarios in practice</w:t>
      </w:r>
    </w:p>
    <w:p w:rsidR="007E72CE" w:rsidRDefault="007E72CE" w:rsidP="007E72CE"/>
    <w:p w:rsidR="007E72CE" w:rsidRDefault="007E72CE" w:rsidP="007E72CE"/>
    <w:p w:rsidR="007E72CE" w:rsidRDefault="007E72CE" w:rsidP="007E72CE"/>
    <w:p w:rsidR="007E72CE" w:rsidRDefault="007E72CE" w:rsidP="007E72CE"/>
    <w:p w:rsidR="007E72CE" w:rsidRPr="007E72CE" w:rsidRDefault="007E72CE" w:rsidP="007E72CE"/>
    <w:p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rsidR="0013180C" w:rsidRPr="00145C63" w:rsidRDefault="009E4E20"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State the differences between fixed dosing and weight based dosing 4-F PCC</w:t>
      </w:r>
    </w:p>
    <w:p w:rsidR="0013180C" w:rsidRDefault="009E4E20"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Summarize the differences between 3-factor prothrombin complex concentrates, fresh frozen plasma, and 4-factor prothrombin complex concentrates</w:t>
      </w:r>
    </w:p>
    <w:p w:rsidR="009E4E20" w:rsidRPr="009E4E20" w:rsidRDefault="009E4E20" w:rsidP="009E4E20"/>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rsidR="00155E54" w:rsidRPr="00145C63" w:rsidRDefault="00155E54" w:rsidP="00155E54">
      <w:pPr>
        <w:rPr>
          <w:rFonts w:cs="Arial"/>
          <w:color w:val="595959" w:themeColor="text1" w:themeTint="A6"/>
          <w:szCs w:val="20"/>
        </w:rPr>
      </w:pPr>
    </w:p>
    <w:p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proofErr w:type="spellStart"/>
      <w:r w:rsidR="009E4E20">
        <w:rPr>
          <w:rFonts w:cs="Arial"/>
          <w:color w:val="595959" w:themeColor="text1" w:themeTint="A6"/>
        </w:rPr>
        <w:t>ChristianaCare</w:t>
      </w:r>
      <w:proofErr w:type="spellEnd"/>
      <w:r w:rsidR="009E4E20">
        <w:rPr>
          <w:rFonts w:cs="Arial"/>
          <w:color w:val="595959" w:themeColor="text1" w:themeTint="A6"/>
        </w:rPr>
        <w:t xml:space="preserve"> Hospital</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w:t>
      </w:r>
    </w:p>
    <w:p w:rsidR="0035174D" w:rsidRPr="00145C63" w:rsidRDefault="0035174D" w:rsidP="0035174D">
      <w:pPr>
        <w:rPr>
          <w:rFonts w:cs="Arial"/>
          <w:b/>
          <w:color w:val="595959" w:themeColor="text1" w:themeTint="A6"/>
          <w:szCs w:val="20"/>
          <w:u w:val="single"/>
        </w:rPr>
      </w:pPr>
    </w:p>
    <w:p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rsidR="001449C2" w:rsidRPr="00145C63" w:rsidRDefault="001449C2" w:rsidP="001449C2">
      <w:pPr>
        <w:rPr>
          <w:rFonts w:cs="Arial"/>
          <w:color w:val="595959" w:themeColor="text1" w:themeTint="A6"/>
          <w:szCs w:val="20"/>
        </w:rPr>
      </w:pPr>
    </w:p>
    <w:p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9E4E20">
        <w:rPr>
          <w:rFonts w:cs="Arial"/>
          <w:color w:val="595959" w:themeColor="text1" w:themeTint="A6"/>
        </w:rPr>
        <w:t>20</w:t>
      </w:r>
      <w:r w:rsidRPr="00145C63">
        <w:rPr>
          <w:rFonts w:cs="Arial"/>
          <w:color w:val="595959" w:themeColor="text1" w:themeTint="A6"/>
        </w:rPr>
        <w:t>-0</w:t>
      </w:r>
      <w:r w:rsidR="009E4E20">
        <w:rPr>
          <w:rFonts w:cs="Arial"/>
          <w:color w:val="595959" w:themeColor="text1" w:themeTint="A6"/>
        </w:rPr>
        <w:t>43</w:t>
      </w:r>
      <w:r w:rsidRPr="00145C63">
        <w:rPr>
          <w:rFonts w:cs="Arial"/>
          <w:color w:val="595959" w:themeColor="text1" w:themeTint="A6"/>
        </w:rPr>
        <w:t>-L0</w:t>
      </w:r>
      <w:r w:rsidR="009E4E20">
        <w:rPr>
          <w:rFonts w:cs="Arial"/>
          <w:color w:val="595959" w:themeColor="text1" w:themeTint="A6"/>
        </w:rPr>
        <w:t>1</w:t>
      </w:r>
      <w:r w:rsidRPr="00145C63">
        <w:rPr>
          <w:rFonts w:cs="Arial"/>
          <w:color w:val="595959" w:themeColor="text1" w:themeTint="A6"/>
        </w:rPr>
        <w:t>-P</w:t>
      </w:r>
    </w:p>
    <w:p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9E4E20">
        <w:rPr>
          <w:rFonts w:cs="Arial"/>
          <w:color w:val="595959" w:themeColor="text1" w:themeTint="A6"/>
        </w:rPr>
        <w:t>20</w:t>
      </w:r>
      <w:r w:rsidRPr="00145C63">
        <w:rPr>
          <w:rFonts w:cs="Arial"/>
          <w:color w:val="595959" w:themeColor="text1" w:themeTint="A6"/>
        </w:rPr>
        <w:t>-0</w:t>
      </w:r>
      <w:r w:rsidR="009E4E20">
        <w:rPr>
          <w:rFonts w:cs="Arial"/>
          <w:color w:val="595959" w:themeColor="text1" w:themeTint="A6"/>
        </w:rPr>
        <w:t>43</w:t>
      </w:r>
      <w:r w:rsidRPr="00145C63">
        <w:rPr>
          <w:rFonts w:cs="Arial"/>
          <w:color w:val="595959" w:themeColor="text1" w:themeTint="A6"/>
        </w:rPr>
        <w:t>-L0</w:t>
      </w:r>
      <w:r w:rsidR="009E4E20">
        <w:rPr>
          <w:rFonts w:cs="Arial"/>
          <w:color w:val="595959" w:themeColor="text1" w:themeTint="A6"/>
        </w:rPr>
        <w:t>1</w:t>
      </w:r>
      <w:r w:rsidRPr="00145C63">
        <w:rPr>
          <w:rFonts w:cs="Arial"/>
          <w:color w:val="595959" w:themeColor="text1" w:themeTint="A6"/>
        </w:rPr>
        <w:t>-T</w:t>
      </w:r>
    </w:p>
    <w:p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rsidR="007E72CE" w:rsidRDefault="008730EB" w:rsidP="007E72CE">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7E72CE" w:rsidRDefault="007E72CE" w:rsidP="007E72CE">
      <w:pPr>
        <w:tabs>
          <w:tab w:val="left" w:pos="1440"/>
          <w:tab w:val="left" w:pos="2880"/>
          <w:tab w:val="left" w:pos="4320"/>
          <w:tab w:val="left" w:pos="5760"/>
          <w:tab w:val="left" w:pos="7920"/>
        </w:tabs>
        <w:rPr>
          <w:rFonts w:eastAsia="Times" w:cs="Arial"/>
          <w:color w:val="595959" w:themeColor="text1" w:themeTint="A6"/>
          <w:szCs w:val="20"/>
        </w:rPr>
      </w:pPr>
    </w:p>
    <w:p w:rsidR="007E72CE" w:rsidRDefault="007E72CE" w:rsidP="007E72CE">
      <w:pPr>
        <w:tabs>
          <w:tab w:val="left" w:pos="1440"/>
          <w:tab w:val="left" w:pos="2880"/>
          <w:tab w:val="left" w:pos="4320"/>
          <w:tab w:val="left" w:pos="5760"/>
          <w:tab w:val="left" w:pos="7920"/>
        </w:tabs>
        <w:rPr>
          <w:rFonts w:cs="Arial"/>
          <w:color w:val="595959" w:themeColor="text1" w:themeTint="A6"/>
        </w:rPr>
      </w:pPr>
    </w:p>
    <w:p w:rsidR="007E72CE" w:rsidRDefault="007E72CE" w:rsidP="007E72CE">
      <w:pPr>
        <w:tabs>
          <w:tab w:val="left" w:pos="1440"/>
          <w:tab w:val="left" w:pos="2880"/>
          <w:tab w:val="left" w:pos="4320"/>
          <w:tab w:val="left" w:pos="5760"/>
          <w:tab w:val="left" w:pos="7920"/>
        </w:tabs>
        <w:rPr>
          <w:rFonts w:cs="Arial"/>
          <w:color w:val="595959" w:themeColor="text1" w:themeTint="A6"/>
        </w:rPr>
      </w:pPr>
    </w:p>
    <w:p w:rsidR="007E72CE" w:rsidRDefault="007E72CE" w:rsidP="007E72CE">
      <w:pPr>
        <w:tabs>
          <w:tab w:val="left" w:pos="1440"/>
          <w:tab w:val="left" w:pos="2880"/>
          <w:tab w:val="left" w:pos="4320"/>
          <w:tab w:val="left" w:pos="5760"/>
          <w:tab w:val="left" w:pos="7920"/>
        </w:tabs>
        <w:rPr>
          <w:rFonts w:cs="Arial"/>
          <w:color w:val="595959" w:themeColor="text1" w:themeTint="A6"/>
        </w:rPr>
      </w:pPr>
    </w:p>
    <w:p w:rsidR="007E72CE" w:rsidRDefault="007E72CE" w:rsidP="007E72CE">
      <w:pPr>
        <w:tabs>
          <w:tab w:val="left" w:pos="1440"/>
          <w:tab w:val="left" w:pos="2880"/>
          <w:tab w:val="left" w:pos="4320"/>
          <w:tab w:val="left" w:pos="5760"/>
          <w:tab w:val="left" w:pos="7920"/>
        </w:tabs>
        <w:rPr>
          <w:rFonts w:cs="Arial"/>
          <w:color w:val="595959" w:themeColor="text1" w:themeTint="A6"/>
        </w:rPr>
      </w:pPr>
    </w:p>
    <w:p w:rsidR="007E72CE" w:rsidRDefault="007E72CE" w:rsidP="007E72CE">
      <w:pPr>
        <w:tabs>
          <w:tab w:val="left" w:pos="1440"/>
          <w:tab w:val="left" w:pos="2880"/>
          <w:tab w:val="left" w:pos="4320"/>
          <w:tab w:val="left" w:pos="5760"/>
          <w:tab w:val="left" w:pos="7920"/>
        </w:tabs>
        <w:rPr>
          <w:rFonts w:cs="Arial"/>
          <w:color w:val="595959" w:themeColor="text1" w:themeTint="A6"/>
        </w:rPr>
      </w:pPr>
    </w:p>
    <w:p w:rsidR="008730EB" w:rsidRPr="00145C63" w:rsidRDefault="008730EB" w:rsidP="007E72CE">
      <w:pPr>
        <w:tabs>
          <w:tab w:val="left" w:pos="1440"/>
          <w:tab w:val="left" w:pos="2880"/>
          <w:tab w:val="left" w:pos="4320"/>
          <w:tab w:val="left" w:pos="5760"/>
          <w:tab w:val="left" w:pos="7920"/>
        </w:tabs>
        <w:rPr>
          <w:rFonts w:cs="Arial"/>
          <w:color w:val="595959" w:themeColor="text1" w:themeTint="A6"/>
        </w:rPr>
      </w:pPr>
      <w:r w:rsidRPr="00145C63">
        <w:rPr>
          <w:rFonts w:cs="Arial"/>
          <w:color w:val="595959" w:themeColor="text1" w:themeTint="A6"/>
        </w:rPr>
        <w:t>DISCLOSURE STATEMENTS:</w:t>
      </w:r>
    </w:p>
    <w:p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rsidR="004B0F88" w:rsidRPr="00145C63" w:rsidRDefault="004B0F88" w:rsidP="004B0F88">
      <w:pPr>
        <w:rPr>
          <w:color w:val="595959" w:themeColor="text1" w:themeTint="A6"/>
        </w:rPr>
      </w:pPr>
    </w:p>
    <w:p w:rsidR="00CB449D" w:rsidRDefault="00CB449D" w:rsidP="00CB449D">
      <w:pPr>
        <w:spacing w:before="120"/>
        <w:rPr>
          <w:rFonts w:cs="Arial"/>
          <w:bCs/>
          <w:color w:val="595959" w:themeColor="text1" w:themeTint="A6"/>
          <w:sz w:val="18"/>
          <w:szCs w:val="18"/>
        </w:rPr>
      </w:pPr>
      <w:r w:rsidRPr="00145C63">
        <w:rPr>
          <w:rFonts w:cs="Arial"/>
          <w:bCs/>
          <w:color w:val="595959" w:themeColor="text1" w:themeTint="A6"/>
          <w:sz w:val="18"/>
          <w:szCs w:val="18"/>
        </w:rPr>
        <w:t xml:space="preserve">Relevant financial relationships: Planning committee members and </w:t>
      </w:r>
      <w:r w:rsidR="005F53FC" w:rsidRPr="00145C63">
        <w:rPr>
          <w:rFonts w:cs="Arial"/>
          <w:bCs/>
          <w:color w:val="595959" w:themeColor="text1" w:themeTint="A6"/>
          <w:sz w:val="18"/>
          <w:szCs w:val="18"/>
        </w:rPr>
        <w:t>presenters</w:t>
      </w:r>
      <w:r w:rsidRPr="00145C63">
        <w:rPr>
          <w:rFonts w:cs="Arial"/>
          <w:bCs/>
          <w:color w:val="595959" w:themeColor="text1" w:themeTint="A6"/>
          <w:sz w:val="18"/>
          <w:szCs w:val="18"/>
        </w:rPr>
        <w:t xml:space="preserve"> have nothing to disclose </w:t>
      </w:r>
    </w:p>
    <w:p w:rsidR="009E4E20" w:rsidRDefault="009E4E20" w:rsidP="00CB449D">
      <w:pPr>
        <w:spacing w:before="120"/>
        <w:rPr>
          <w:rFonts w:cs="Arial"/>
          <w:bCs/>
          <w:color w:val="595959" w:themeColor="text1" w:themeTint="A6"/>
          <w:sz w:val="18"/>
          <w:szCs w:val="18"/>
        </w:rPr>
      </w:pPr>
      <w:r>
        <w:rPr>
          <w:rFonts w:cs="Arial"/>
          <w:bCs/>
          <w:color w:val="595959" w:themeColor="text1" w:themeTint="A6"/>
          <w:sz w:val="18"/>
          <w:szCs w:val="18"/>
        </w:rPr>
        <w:t>The presenter will discuss investigative use of drugs</w:t>
      </w:r>
    </w:p>
    <w:p w:rsidR="007E72CE" w:rsidRPr="00145C63" w:rsidRDefault="007E72CE" w:rsidP="00CB449D">
      <w:pPr>
        <w:spacing w:before="120"/>
        <w:rPr>
          <w:rFonts w:cs="Arial"/>
          <w:bCs/>
          <w:color w:val="595959" w:themeColor="text1" w:themeTint="A6"/>
          <w:sz w:val="18"/>
          <w:szCs w:val="18"/>
        </w:rPr>
      </w:pPr>
    </w:p>
    <w:p w:rsidR="00CB449D" w:rsidRDefault="00CB449D" w:rsidP="007E72CE">
      <w:pPr>
        <w:pStyle w:val="Heading3"/>
        <w:spacing w:before="0"/>
        <w:rPr>
          <w:rFonts w:cs="Arial"/>
          <w:color w:val="01ADAB"/>
          <w:sz w:val="24"/>
        </w:rPr>
      </w:pPr>
      <w:r>
        <w:rPr>
          <w:rFonts w:cs="Arial"/>
          <w:b w:val="0"/>
          <w:bCs w:val="0"/>
          <w:color w:val="01ADAB"/>
          <w:sz w:val="24"/>
        </w:rPr>
        <w:t>Planning committee members</w:t>
      </w:r>
    </w:p>
    <w:p w:rsidR="00CB449D" w:rsidRDefault="00CB449D" w:rsidP="007E72CE"/>
    <w:p w:rsidR="00CB449D" w:rsidRPr="00145C63" w:rsidRDefault="009E4E20" w:rsidP="007E72CE">
      <w:pPr>
        <w:rPr>
          <w:b/>
          <w:color w:val="595959" w:themeColor="text1" w:themeTint="A6"/>
        </w:rPr>
      </w:pPr>
      <w:r>
        <w:rPr>
          <w:b/>
          <w:color w:val="595959" w:themeColor="text1" w:themeTint="A6"/>
        </w:rPr>
        <w:t>Katelyn McCormick, PharmD, BCPS</w:t>
      </w:r>
    </w:p>
    <w:p w:rsidR="00CB449D" w:rsidRPr="00145C63" w:rsidRDefault="009E4E20" w:rsidP="00CB449D">
      <w:pPr>
        <w:rPr>
          <w:color w:val="595959" w:themeColor="text1" w:themeTint="A6"/>
        </w:rPr>
      </w:pPr>
      <w:r>
        <w:rPr>
          <w:color w:val="595959" w:themeColor="text1" w:themeTint="A6"/>
        </w:rPr>
        <w:t>Emergency Medical Clinical Pharmacist</w:t>
      </w:r>
    </w:p>
    <w:p w:rsidR="00CB449D" w:rsidRPr="00145C63" w:rsidRDefault="009E4E20" w:rsidP="00CB449D">
      <w:pPr>
        <w:rPr>
          <w:color w:val="595959" w:themeColor="text1" w:themeTint="A6"/>
        </w:rPr>
      </w:pPr>
      <w:proofErr w:type="spellStart"/>
      <w:r>
        <w:rPr>
          <w:color w:val="595959" w:themeColor="text1" w:themeTint="A6"/>
        </w:rPr>
        <w:t>ChristianaCare</w:t>
      </w:r>
      <w:proofErr w:type="spellEnd"/>
      <w:r>
        <w:rPr>
          <w:color w:val="595959" w:themeColor="text1" w:themeTint="A6"/>
        </w:rPr>
        <w:t xml:space="preserve"> Hospital</w:t>
      </w:r>
    </w:p>
    <w:p w:rsidR="00CB449D" w:rsidRPr="007E72CE" w:rsidRDefault="00CB449D" w:rsidP="00CB449D">
      <w:pPr>
        <w:rPr>
          <w:color w:val="595959" w:themeColor="text1" w:themeTint="A6"/>
        </w:rPr>
      </w:pPr>
    </w:p>
    <w:p w:rsidR="00CB449D" w:rsidRPr="007E72CE" w:rsidRDefault="009E4E20" w:rsidP="00CB449D">
      <w:pPr>
        <w:rPr>
          <w:b/>
          <w:color w:val="595959" w:themeColor="text1" w:themeTint="A6"/>
        </w:rPr>
      </w:pPr>
      <w:r w:rsidRPr="007E72CE">
        <w:rPr>
          <w:b/>
          <w:color w:val="595959" w:themeColor="text1" w:themeTint="A6"/>
        </w:rPr>
        <w:t>Ashley Weiner, PharmD</w:t>
      </w:r>
    </w:p>
    <w:p w:rsidR="00CB449D" w:rsidRPr="007E72CE" w:rsidRDefault="009E4E20" w:rsidP="00CB449D">
      <w:pPr>
        <w:rPr>
          <w:color w:val="595959" w:themeColor="text1" w:themeTint="A6"/>
        </w:rPr>
      </w:pPr>
      <w:r w:rsidRPr="007E72CE">
        <w:rPr>
          <w:color w:val="595959" w:themeColor="text1" w:themeTint="A6"/>
        </w:rPr>
        <w:t>Pharmacy Resident</w:t>
      </w:r>
    </w:p>
    <w:p w:rsidR="009E4E20" w:rsidRDefault="009E4E20" w:rsidP="007E72CE">
      <w:pPr>
        <w:rPr>
          <w:color w:val="595959" w:themeColor="text1" w:themeTint="A6"/>
        </w:rPr>
      </w:pPr>
      <w:proofErr w:type="spellStart"/>
      <w:r w:rsidRPr="007E72CE">
        <w:rPr>
          <w:color w:val="595959" w:themeColor="text1" w:themeTint="A6"/>
        </w:rPr>
        <w:t>ChristianaCare</w:t>
      </w:r>
      <w:proofErr w:type="spellEnd"/>
      <w:r w:rsidRPr="007E72CE">
        <w:rPr>
          <w:color w:val="595959" w:themeColor="text1" w:themeTint="A6"/>
        </w:rPr>
        <w:t xml:space="preserve"> Hospital</w:t>
      </w:r>
    </w:p>
    <w:p w:rsidR="00BF19DD" w:rsidRPr="007E72CE" w:rsidRDefault="00BF19DD" w:rsidP="007E72CE">
      <w:pPr>
        <w:rPr>
          <w:color w:val="595959" w:themeColor="text1" w:themeTint="A6"/>
        </w:rPr>
      </w:pPr>
    </w:p>
    <w:p w:rsidR="009E4E20" w:rsidRPr="00145C63" w:rsidRDefault="009E4E20" w:rsidP="007E72CE">
      <w:pPr>
        <w:rPr>
          <w:color w:val="595959" w:themeColor="text1" w:themeTint="A6"/>
        </w:rPr>
      </w:pPr>
    </w:p>
    <w:p w:rsidR="00CB449D" w:rsidRDefault="009E4E20" w:rsidP="007E72CE">
      <w:pPr>
        <w:pStyle w:val="Heading3"/>
        <w:spacing w:before="0"/>
        <w:rPr>
          <w:rFonts w:cs="Arial"/>
          <w:b w:val="0"/>
          <w:bCs w:val="0"/>
          <w:color w:val="01ADAB" w:themeColor="accent4"/>
          <w:sz w:val="24"/>
        </w:rPr>
      </w:pPr>
      <w:r>
        <w:rPr>
          <w:rFonts w:cs="Arial"/>
          <w:b w:val="0"/>
          <w:bCs w:val="0"/>
          <w:color w:val="01ADAB" w:themeColor="accent4"/>
          <w:sz w:val="24"/>
        </w:rPr>
        <w:t>Course reviewer</w:t>
      </w:r>
    </w:p>
    <w:p w:rsidR="007E72CE" w:rsidRPr="007E72CE" w:rsidRDefault="007E72CE" w:rsidP="007E72CE"/>
    <w:p w:rsidR="009E4E20" w:rsidRPr="007E72CE" w:rsidRDefault="009E4E20" w:rsidP="009E4E20">
      <w:pPr>
        <w:rPr>
          <w:rFonts w:ascii="Courier New" w:hAnsi="Courier New" w:cs="Courier New"/>
          <w:b/>
          <w:color w:val="595959" w:themeColor="text1" w:themeTint="A6"/>
          <w:szCs w:val="20"/>
        </w:rPr>
      </w:pPr>
      <w:r w:rsidRPr="007E72CE">
        <w:rPr>
          <w:rFonts w:cs="Arial"/>
          <w:b/>
          <w:color w:val="595959" w:themeColor="text1" w:themeTint="A6"/>
          <w:szCs w:val="20"/>
        </w:rPr>
        <w:t>Katrina K. Harper, PharmD, MBA, BCPS, BCSCP</w:t>
      </w:r>
    </w:p>
    <w:p w:rsidR="009E4E20" w:rsidRPr="007E72CE" w:rsidRDefault="009E4E20" w:rsidP="009E4E20">
      <w:pPr>
        <w:rPr>
          <w:rFonts w:cs="Arial"/>
          <w:color w:val="595959" w:themeColor="text1" w:themeTint="A6"/>
          <w:szCs w:val="20"/>
        </w:rPr>
      </w:pPr>
      <w:r w:rsidRPr="007E72CE">
        <w:rPr>
          <w:rFonts w:cs="Arial"/>
          <w:color w:val="595959" w:themeColor="text1" w:themeTint="A6"/>
          <w:szCs w:val="20"/>
        </w:rPr>
        <w:t xml:space="preserve">Clinical Pharmacy Director, Sourcing Operations </w:t>
      </w:r>
    </w:p>
    <w:p w:rsidR="009E4E20" w:rsidRPr="007E72CE" w:rsidRDefault="009E4E20" w:rsidP="009E4E20">
      <w:pPr>
        <w:rPr>
          <w:rFonts w:cs="Arial"/>
          <w:color w:val="595959" w:themeColor="text1" w:themeTint="A6"/>
          <w:szCs w:val="20"/>
        </w:rPr>
      </w:pPr>
      <w:r w:rsidRPr="007E72CE">
        <w:rPr>
          <w:rFonts w:cs="Arial"/>
          <w:color w:val="595959" w:themeColor="text1" w:themeTint="A6"/>
          <w:szCs w:val="20"/>
        </w:rPr>
        <w:t>Center for Pharmacy Practice Excellence</w:t>
      </w:r>
    </w:p>
    <w:p w:rsidR="009E4E20" w:rsidRDefault="009E4E20" w:rsidP="007E72CE">
      <w:pPr>
        <w:rPr>
          <w:rFonts w:cs="Arial"/>
          <w:color w:val="595959" w:themeColor="text1" w:themeTint="A6"/>
          <w:szCs w:val="20"/>
        </w:rPr>
      </w:pPr>
      <w:r w:rsidRPr="007E72CE">
        <w:rPr>
          <w:rFonts w:cs="Arial"/>
          <w:color w:val="595959" w:themeColor="text1" w:themeTint="A6"/>
          <w:szCs w:val="20"/>
        </w:rPr>
        <w:t>Vizient</w:t>
      </w:r>
    </w:p>
    <w:p w:rsidR="00BF19DD" w:rsidRPr="007E72CE" w:rsidRDefault="00BF19DD" w:rsidP="007E72CE">
      <w:pPr>
        <w:rPr>
          <w:rFonts w:cs="Arial"/>
          <w:color w:val="595959" w:themeColor="text1" w:themeTint="A6"/>
          <w:szCs w:val="20"/>
        </w:rPr>
      </w:pPr>
    </w:p>
    <w:p w:rsidR="00CB449D" w:rsidRDefault="00CB449D" w:rsidP="007E72CE"/>
    <w:p w:rsidR="00CB449D" w:rsidRDefault="009E4E20" w:rsidP="007E72CE">
      <w:pPr>
        <w:pStyle w:val="Heading3"/>
        <w:spacing w:before="0"/>
        <w:rPr>
          <w:rFonts w:cs="Arial"/>
          <w:b w:val="0"/>
          <w:bCs w:val="0"/>
          <w:color w:val="01ADAB"/>
          <w:sz w:val="24"/>
        </w:rPr>
      </w:pPr>
      <w:r>
        <w:rPr>
          <w:rFonts w:cs="Arial"/>
          <w:b w:val="0"/>
          <w:bCs w:val="0"/>
          <w:color w:val="01ADAB"/>
          <w:sz w:val="24"/>
        </w:rPr>
        <w:t>Presenter</w:t>
      </w:r>
    </w:p>
    <w:p w:rsidR="007E72CE" w:rsidRPr="007E72CE" w:rsidRDefault="007E72CE" w:rsidP="007E72CE"/>
    <w:p w:rsidR="009E4E20" w:rsidRPr="00145C63" w:rsidRDefault="009E4E20" w:rsidP="009E4E20">
      <w:pPr>
        <w:rPr>
          <w:b/>
          <w:color w:val="595959" w:themeColor="text1" w:themeTint="A6"/>
        </w:rPr>
      </w:pPr>
      <w:r>
        <w:rPr>
          <w:b/>
          <w:color w:val="595959" w:themeColor="text1" w:themeTint="A6"/>
        </w:rPr>
        <w:t>Ashley Weiner, PharmD</w:t>
      </w:r>
    </w:p>
    <w:p w:rsidR="009E4E20" w:rsidRPr="00145C63" w:rsidRDefault="009E4E20" w:rsidP="009E4E20">
      <w:pPr>
        <w:rPr>
          <w:color w:val="595959" w:themeColor="text1" w:themeTint="A6"/>
        </w:rPr>
      </w:pPr>
      <w:r>
        <w:rPr>
          <w:color w:val="595959" w:themeColor="text1" w:themeTint="A6"/>
        </w:rPr>
        <w:t>Pharmacy Resident</w:t>
      </w:r>
    </w:p>
    <w:p w:rsidR="009E4E20" w:rsidRDefault="009E4E20" w:rsidP="009E4E20">
      <w:pPr>
        <w:rPr>
          <w:color w:val="595959" w:themeColor="text1" w:themeTint="A6"/>
        </w:rPr>
      </w:pPr>
      <w:proofErr w:type="spellStart"/>
      <w:r>
        <w:rPr>
          <w:color w:val="595959" w:themeColor="text1" w:themeTint="A6"/>
        </w:rPr>
        <w:t>ChristianaCare</w:t>
      </w:r>
      <w:proofErr w:type="spellEnd"/>
      <w:r>
        <w:rPr>
          <w:color w:val="595959" w:themeColor="text1" w:themeTint="A6"/>
        </w:rPr>
        <w:t xml:space="preserve"> Hospital</w:t>
      </w:r>
    </w:p>
    <w:p w:rsidR="00CB449D" w:rsidRPr="00145C63" w:rsidRDefault="00CB449D" w:rsidP="00CB449D">
      <w:pPr>
        <w:rPr>
          <w:color w:val="595959" w:themeColor="text1" w:themeTint="A6"/>
        </w:rPr>
      </w:pPr>
    </w:p>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099C"/>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E72CE"/>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E4E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19DD"/>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743CF"/>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7E72CE"/>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SourceDataModel Name="Computed" TargetDataSourceId="87651697-ca1f-4d80-9f69-bb743e325714"/>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4.xml><?xml version="1.0" encoding="utf-8"?>
<VariableListDefinition name="AD_HOC" displayName="AD_HOC" id="9426ea6f-1b24-4683-bca3-85d71f6375fd" isdomainofvalue="False" dataSourceId="80be7e5f-6e71-448c-9228-23264555308c"/>
</file>

<file path=customXml/item15.xml><?xml version="1.0" encoding="utf-8"?>
<VariableUsageMapping/>
</file>

<file path=customXml/item16.xml><?xml version="1.0" encoding="utf-8"?>
<DataSourceInfo>
  <Id>87651697-ca1f-4d80-9f69-bb743e325714</Id>
  <MajorVersion>0</MajorVersion>
  <MinorVersion>1</MinorVersion>
  <DataSourceType>Expression</DataSourceType>
  <Name>Computed</Name>
  <Description/>
  <Filter/>
  <DataFields/>
</DataSourceInfo>
</file>

<file path=customXml/item17.xml><?xml version="1.0" encoding="utf-8"?>
<DocPartTree/>
</file>

<file path=customXml/item1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SourceDataModel Name="AD_HOC" TargetDataSourceId="80be7e5f-6e71-448c-9228-23264555308c"/>
</file>

<file path=customXml/item20.xml><?xml version="1.0" encoding="utf-8"?>
<AllMetadata/>
</file>

<file path=customXml/item21.xml><?xml version="1.0" encoding="utf-8"?>
<AllExternalAdhocVariableMappings/>
</file>

<file path=customXml/item22.xml><?xml version="1.0" encoding="utf-8"?>
<DataSourceInfo>
  <Id>80be7e5f-6e71-448c-9228-23264555308c</Id>
  <MajorVersion>0</MajorVersion>
  <MinorVersion>1</MinorVersion>
  <DataSourceType>Ad_Hoc</DataSourceType>
  <Name>AD_HOC</Name>
  <Description/>
  <Filter/>
  <DataFields/>
</DataSourceInfo>
</file>

<file path=customXml/item2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4.xml><?xml version="1.0" encoding="utf-8"?>
<SourceDataModel Name="System" TargetDataSourceId="00b80028-d226-4a39-9a19-6787589aad19"/>
</file>

<file path=customXml/item5.xml><?xml version="1.0" encoding="utf-8"?>
<VariableListDefinition name="Computed" displayName="Computed" id="69155e26-4760-488b-ab4c-bb15b0f8b2a2" isdomainofvalue="False" dataSourceId="87651697-ca1f-4d80-9f69-bb743e325714"/>
</file>

<file path=customXml/item6.xml><?xml version="1.0" encoding="utf-8"?>
<?mso-contentType ?>
<SharedContentType xmlns="Microsoft.SharePoint.Taxonomy.ContentTypeSync" SourceId="c9bec5de-3132-4daf-ae55-1613447ae162" ContentTypeId="0x0101003892C1470B32FA4ABADA805F9A36FDE40106" PreviousValue="false"/>
</file>

<file path=customXml/item7.xml><?xml version="1.0" encoding="utf-8"?>
<AllWordPDs>
</AllWordPD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VariableListDefinition name="System" displayName="System" id="dc9731b4-d0d2-4ed5-b20d-434d69de1706" isdomainofvalue="False" dataSourceId="00b80028-d226-4a39-9a19-6787589aad19"/>
</file>

<file path=customXml/itemProps1.xml><?xml version="1.0" encoding="utf-8"?>
<ds:datastoreItem xmlns:ds="http://schemas.openxmlformats.org/officeDocument/2006/customXml" ds:itemID="{BDDC9A50-D520-4DBB-861E-17850ECDD206}">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BEAFDBBE-0F51-4017-B707-8386C7FBABFD}">
  <ds:schemaRefs/>
</ds:datastoreItem>
</file>

<file path=customXml/itemProps14.xml><?xml version="1.0" encoding="utf-8"?>
<ds:datastoreItem xmlns:ds="http://schemas.openxmlformats.org/officeDocument/2006/customXml" ds:itemID="{1D690A50-E3B4-44F5-A4C5-75EEC88CF4EC}">
  <ds:schemaRefs/>
</ds:datastoreItem>
</file>

<file path=customXml/itemProps15.xml><?xml version="1.0" encoding="utf-8"?>
<ds:datastoreItem xmlns:ds="http://schemas.openxmlformats.org/officeDocument/2006/customXml" ds:itemID="{E714D73B-064F-4FC2-AD89-143579607756}">
  <ds:schemaRefs/>
</ds:datastoreItem>
</file>

<file path=customXml/itemProps16.xml><?xml version="1.0" encoding="utf-8"?>
<ds:datastoreItem xmlns:ds="http://schemas.openxmlformats.org/officeDocument/2006/customXml" ds:itemID="{83B1EF68-4D55-4397-AF73-D916BC2254F0}">
  <ds:schemaRefs/>
</ds:datastoreItem>
</file>

<file path=customXml/itemProps17.xml><?xml version="1.0" encoding="utf-8"?>
<ds:datastoreItem xmlns:ds="http://schemas.openxmlformats.org/officeDocument/2006/customXml" ds:itemID="{54E4ECD0-5730-4CBC-B5C8-CDD180BD053A}">
  <ds:schemaRefs/>
</ds:datastoreItem>
</file>

<file path=customXml/itemProps18.xml><?xml version="1.0" encoding="utf-8"?>
<ds:datastoreItem xmlns:ds="http://schemas.openxmlformats.org/officeDocument/2006/customXml" ds:itemID="{5BEF3205-EB69-4E70-BFE8-AFB1DD2B0B96}">
  <ds:schemaRefs>
    <ds:schemaRef ds:uri="http://schemas.microsoft.com/office/2006/documentManagement/types"/>
    <ds:schemaRef ds:uri="fff2b044-c74a-4bd8-8e92-b14b9b13b2b5"/>
    <ds:schemaRef ds:uri="http://purl.org/dc/elements/1.1/"/>
    <ds:schemaRef ds:uri="http://schemas.microsoft.com/office/2006/metadata/properties"/>
    <ds:schemaRef ds:uri="0b2929d2-a33e-45c9-980d-b30e626659d9"/>
    <ds:schemaRef ds:uri="http://schemas.microsoft.com/office/infopath/2007/PartnerControls"/>
    <ds:schemaRef ds:uri="http://schemas.microsoft.com/sharepoint/v3"/>
    <ds:schemaRef ds:uri="http://schemas.openxmlformats.org/package/2006/metadata/core-properties"/>
    <ds:schemaRef ds:uri="http://purl.org/dc/terms/"/>
    <ds:schemaRef ds:uri="1de6e417-ba3b-42be-b14a-7f4cb43c809f"/>
    <ds:schemaRef ds:uri="http://schemas.microsoft.com/sharepoint/v3/fields"/>
    <ds:schemaRef ds:uri="01e59a59-e903-4787-b1b4-4a99956146ec"/>
    <ds:schemaRef ds:uri="http://www.w3.org/XML/1998/namespace"/>
    <ds:schemaRef ds:uri="http://purl.org/dc/dcmitype/"/>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D44D0B5A-EC6D-4AEA-A833-02344E0C6DB2}">
  <ds:schemaRefs/>
</ds:datastoreItem>
</file>

<file path=customXml/itemProps20.xml><?xml version="1.0" encoding="utf-8"?>
<ds:datastoreItem xmlns:ds="http://schemas.openxmlformats.org/officeDocument/2006/customXml" ds:itemID="{A613EE9C-F5E0-4282-839C-53FE8976D615}">
  <ds:schemaRefs/>
</ds:datastoreItem>
</file>

<file path=customXml/itemProps21.xml><?xml version="1.0" encoding="utf-8"?>
<ds:datastoreItem xmlns:ds="http://schemas.openxmlformats.org/officeDocument/2006/customXml" ds:itemID="{7B773B23-CD27-407C-8EF7-714316C2ACF2}">
  <ds:schemaRefs/>
</ds:datastoreItem>
</file>

<file path=customXml/itemProps22.xml><?xml version="1.0" encoding="utf-8"?>
<ds:datastoreItem xmlns:ds="http://schemas.openxmlformats.org/officeDocument/2006/customXml" ds:itemID="{D4628565-9CB4-4F10-AA9C-1309D57A874A}">
  <ds:schemaRefs/>
</ds:datastoreItem>
</file>

<file path=customXml/itemProps23.xml><?xml version="1.0" encoding="utf-8"?>
<ds:datastoreItem xmlns:ds="http://schemas.openxmlformats.org/officeDocument/2006/customXml" ds:itemID="{DE544662-F77F-4442-B53C-A34A18686309}">
  <ds:schemaRefs/>
</ds:datastoreItem>
</file>

<file path=customXml/itemProps2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0D4A98D7-A056-4A12-A949-9E2EE5A35FE4}">
  <ds:schemaRefs/>
</ds:datastoreItem>
</file>

<file path=customXml/itemProps27.xml><?xml version="1.0" encoding="utf-8"?>
<ds:datastoreItem xmlns:ds="http://schemas.openxmlformats.org/officeDocument/2006/customXml" ds:itemID="{23C8018B-EDCC-49ED-934E-AA7C5B679D39}">
  <ds:schemaRefs>
    <ds:schemaRef ds:uri="http://schemas.openxmlformats.org/officeDocument/2006/bibliography"/>
  </ds:schemaRefs>
</ds:datastoreItem>
</file>

<file path=customXml/itemProps3.xml><?xml version="1.0" encoding="utf-8"?>
<ds:datastoreItem xmlns:ds="http://schemas.openxmlformats.org/officeDocument/2006/customXml" ds:itemID="{5B401B9D-B553-4B56-A34A-971673CC9681}">
  <ds:schemaRefs/>
</ds:datastoreItem>
</file>

<file path=customXml/itemProps4.xml><?xml version="1.0" encoding="utf-8"?>
<ds:datastoreItem xmlns:ds="http://schemas.openxmlformats.org/officeDocument/2006/customXml" ds:itemID="{E0C162D0-F7BA-4089-AC31-880761F0BD65}">
  <ds:schemaRefs/>
</ds:datastoreItem>
</file>

<file path=customXml/itemProps5.xml><?xml version="1.0" encoding="utf-8"?>
<ds:datastoreItem xmlns:ds="http://schemas.openxmlformats.org/officeDocument/2006/customXml" ds:itemID="{37871AC4-84F1-4DCF-9181-89FBC406BA26}">
  <ds:schemaRefs/>
</ds:datastoreItem>
</file>

<file path=customXml/itemProps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80CE4447-D1BD-469E-BD8B-B31A4C9A896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22</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5509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2020-02-17T16:10:00Z</dcterms:created>
  <dcterms:modified xsi:type="dcterms:W3CDTF">2020-02-17T16:33:00Z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