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D9EBF6D" w:rsidR="00ED6AE4" w:rsidRPr="008B1CED" w:rsidRDefault="00FB3C8F" w:rsidP="00ED6AE4">
      <w:pPr>
        <w:pStyle w:val="Heading"/>
      </w:pPr>
      <w:r>
        <w:t>Impact of COVID-19 on Antimicrobial Stewardship in Acute Care: National Research Project Kickoff</w:t>
      </w:r>
    </w:p>
    <w:p w14:paraId="0D0DC3CD" w14:textId="1872FEC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B3C8F">
        <w:rPr>
          <w:color w:val="595959" w:themeColor="text1" w:themeTint="A6"/>
        </w:rPr>
        <w:t>January 18, 2022</w:t>
      </w:r>
    </w:p>
    <w:p w14:paraId="641D3E3A" w14:textId="407FAE0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B3C8F">
        <w:rPr>
          <w:color w:val="595959" w:themeColor="text1" w:themeTint="A6"/>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6A9D39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D7222">
        <w:rPr>
          <w:rFonts w:cs="Arial"/>
          <w:b/>
          <w:color w:val="595959" w:themeColor="text1" w:themeTint="A6"/>
          <w:szCs w:val="20"/>
        </w:rPr>
        <w:t>March 3, 2022</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CAE6F24" w14:textId="77777777" w:rsidR="004D7222" w:rsidRPr="004D7222" w:rsidRDefault="004D7222" w:rsidP="004D7222">
      <w:pPr>
        <w:pStyle w:val="ListParagraph"/>
        <w:numPr>
          <w:ilvl w:val="0"/>
          <w:numId w:val="40"/>
        </w:numPr>
        <w:ind w:left="360"/>
        <w:rPr>
          <w:rFonts w:ascii="Calibri" w:hAnsi="Calibri"/>
          <w:color w:val="595959" w:themeColor="text1" w:themeTint="A6"/>
        </w:rPr>
      </w:pPr>
      <w:r w:rsidRPr="004D7222">
        <w:rPr>
          <w:color w:val="595959" w:themeColor="text1" w:themeTint="A6"/>
        </w:rPr>
        <w:t xml:space="preserve">Outline the impact COVID-19 has had on diagnostic testing and antimicrobial use </w:t>
      </w:r>
    </w:p>
    <w:p w14:paraId="2D68CA4E" w14:textId="77777777" w:rsidR="004D7222" w:rsidRPr="004D7222" w:rsidRDefault="004D7222" w:rsidP="004D7222">
      <w:pPr>
        <w:pStyle w:val="ListParagraph"/>
        <w:numPr>
          <w:ilvl w:val="0"/>
          <w:numId w:val="40"/>
        </w:numPr>
        <w:ind w:left="360"/>
        <w:rPr>
          <w:rFonts w:ascii="Calibri" w:hAnsi="Calibri"/>
          <w:color w:val="595959" w:themeColor="text1" w:themeTint="A6"/>
        </w:rPr>
      </w:pPr>
      <w:r w:rsidRPr="004D7222">
        <w:rPr>
          <w:color w:val="595959" w:themeColor="text1" w:themeTint="A6"/>
        </w:rPr>
        <w:t>Describe how antimicrobial stewardship roles have changed during the COVID-19 pandemic</w:t>
      </w:r>
    </w:p>
    <w:p w14:paraId="587E1C16" w14:textId="77777777" w:rsidR="004D7222" w:rsidRPr="004D7222" w:rsidRDefault="004D7222" w:rsidP="004D7222">
      <w:pPr>
        <w:pStyle w:val="ListParagraph"/>
        <w:numPr>
          <w:ilvl w:val="0"/>
          <w:numId w:val="40"/>
        </w:numPr>
        <w:ind w:left="360"/>
        <w:rPr>
          <w:rFonts w:ascii="Calibri" w:hAnsi="Calibri"/>
          <w:color w:val="595959" w:themeColor="text1" w:themeTint="A6"/>
        </w:rPr>
      </w:pPr>
      <w:r w:rsidRPr="004D7222">
        <w:rPr>
          <w:color w:val="595959" w:themeColor="text1" w:themeTint="A6"/>
        </w:rPr>
        <w:t>Discuss participation requirements and survey methodology of the national research project</w:t>
      </w:r>
    </w:p>
    <w:p w14:paraId="3AE00EDC" w14:textId="77777777" w:rsidR="004D7222" w:rsidRPr="004D7222" w:rsidRDefault="004D7222" w:rsidP="004D7222"/>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C22BF6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6B0B4F">
        <w:rPr>
          <w:rFonts w:cs="Arial"/>
          <w:color w:val="595959" w:themeColor="text1" w:themeTint="A6"/>
        </w:rPr>
        <w:t>103</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4D7222">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D7222">
      <w:pPr>
        <w:rPr>
          <w:color w:val="595959" w:themeColor="text1" w:themeTint="A6"/>
        </w:rPr>
      </w:pPr>
    </w:p>
    <w:p w14:paraId="51E2B5DF" w14:textId="0ED8C6A7" w:rsidR="00CB449D" w:rsidRPr="00D3796A" w:rsidRDefault="00CB449D" w:rsidP="004D7222">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80D20D1" w:rsidR="00CB449D" w:rsidRPr="00145C63" w:rsidRDefault="004D7222" w:rsidP="00DD68D3">
      <w:pPr>
        <w:rPr>
          <w:b/>
          <w:color w:val="595959" w:themeColor="text1" w:themeTint="A6"/>
        </w:rPr>
      </w:pPr>
      <w:r>
        <w:rPr>
          <w:b/>
          <w:color w:val="595959" w:themeColor="text1" w:themeTint="A6"/>
        </w:rPr>
        <w:t>Jackie Stokes, BS</w:t>
      </w:r>
    </w:p>
    <w:p w14:paraId="529DCE50" w14:textId="6C03BA0C" w:rsidR="00CB449D" w:rsidRPr="00145C63" w:rsidRDefault="004D7222" w:rsidP="00DD68D3">
      <w:pPr>
        <w:rPr>
          <w:color w:val="595959" w:themeColor="text1" w:themeTint="A6"/>
        </w:rPr>
      </w:pPr>
      <w:r>
        <w:rPr>
          <w:color w:val="595959" w:themeColor="text1" w:themeTint="A6"/>
        </w:rPr>
        <w:t>Manager, Pharmacy Program</w:t>
      </w:r>
    </w:p>
    <w:p w14:paraId="0B00B718" w14:textId="42952297" w:rsidR="00CB449D" w:rsidRPr="00145C63" w:rsidRDefault="004D7222"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4099382" w:rsidR="00CB449D" w:rsidRPr="00145C63" w:rsidRDefault="004D7222" w:rsidP="00DD68D3">
      <w:pPr>
        <w:rPr>
          <w:b/>
          <w:color w:val="595959" w:themeColor="text1" w:themeTint="A6"/>
        </w:rPr>
      </w:pPr>
      <w:r>
        <w:rPr>
          <w:b/>
          <w:color w:val="595959" w:themeColor="text1" w:themeTint="A6"/>
        </w:rPr>
        <w:t>Gretchen Brummel, PharmD, BCPS</w:t>
      </w:r>
    </w:p>
    <w:p w14:paraId="2B34AFB1" w14:textId="1648969B" w:rsidR="00CB449D" w:rsidRPr="00145C63" w:rsidRDefault="004D7222" w:rsidP="00DD68D3">
      <w:pPr>
        <w:rPr>
          <w:color w:val="595959" w:themeColor="text1" w:themeTint="A6"/>
        </w:rPr>
      </w:pPr>
      <w:r>
        <w:rPr>
          <w:color w:val="595959" w:themeColor="text1" w:themeTint="A6"/>
        </w:rPr>
        <w:t>Consulting Solutions Director</w:t>
      </w:r>
    </w:p>
    <w:p w14:paraId="4EEAAF9E" w14:textId="77777777" w:rsidR="004D7222" w:rsidRPr="00145C63" w:rsidRDefault="004D7222" w:rsidP="004D7222">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6FA5634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67CCB4A" w14:textId="77777777" w:rsidR="004D7222" w:rsidRPr="00145C63" w:rsidRDefault="004D7222" w:rsidP="004D7222">
      <w:pPr>
        <w:rPr>
          <w:b/>
          <w:color w:val="595959" w:themeColor="text1" w:themeTint="A6"/>
        </w:rPr>
      </w:pPr>
      <w:r>
        <w:rPr>
          <w:b/>
          <w:color w:val="595959" w:themeColor="text1" w:themeTint="A6"/>
        </w:rPr>
        <w:t>Gretchen Brummel, PharmD, BCPS</w:t>
      </w:r>
    </w:p>
    <w:p w14:paraId="3C8FB3EB" w14:textId="77777777" w:rsidR="004D7222" w:rsidRPr="00145C63" w:rsidRDefault="004D7222" w:rsidP="004D7222">
      <w:pPr>
        <w:rPr>
          <w:color w:val="595959" w:themeColor="text1" w:themeTint="A6"/>
        </w:rPr>
      </w:pPr>
      <w:r>
        <w:rPr>
          <w:color w:val="595959" w:themeColor="text1" w:themeTint="A6"/>
        </w:rPr>
        <w:t>Consulting Solutions Director</w:t>
      </w:r>
    </w:p>
    <w:p w14:paraId="6FF616A2" w14:textId="77777777" w:rsidR="004D7222" w:rsidRPr="00145C63" w:rsidRDefault="004D7222" w:rsidP="004D7222">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1B90D708" w:rsidR="00CB449D" w:rsidRPr="00145C63" w:rsidRDefault="004D7222" w:rsidP="00DD68D3">
      <w:pPr>
        <w:rPr>
          <w:b/>
          <w:color w:val="595959" w:themeColor="text1" w:themeTint="A6"/>
        </w:rPr>
      </w:pPr>
      <w:r>
        <w:rPr>
          <w:b/>
          <w:color w:val="595959" w:themeColor="text1" w:themeTint="A6"/>
        </w:rPr>
        <w:t>Lucas T. Schulz, PharmD, BCIDP</w:t>
      </w:r>
    </w:p>
    <w:p w14:paraId="69E43666" w14:textId="799FFEF0" w:rsidR="00CB449D" w:rsidRDefault="004D7222" w:rsidP="00DD68D3">
      <w:pPr>
        <w:rPr>
          <w:color w:val="595959" w:themeColor="text1" w:themeTint="A6"/>
        </w:rPr>
      </w:pPr>
      <w:r>
        <w:rPr>
          <w:color w:val="595959" w:themeColor="text1" w:themeTint="A6"/>
        </w:rPr>
        <w:t>Infectious Diseases Clinical Coordinator</w:t>
      </w:r>
    </w:p>
    <w:p w14:paraId="0A0443D6" w14:textId="3F942E75" w:rsidR="004D7222" w:rsidRPr="00145C63" w:rsidRDefault="004D7222" w:rsidP="00DD68D3">
      <w:pPr>
        <w:rPr>
          <w:color w:val="595959" w:themeColor="text1" w:themeTint="A6"/>
        </w:rPr>
      </w:pPr>
      <w:r>
        <w:rPr>
          <w:color w:val="595959" w:themeColor="text1" w:themeTint="A6"/>
        </w:rPr>
        <w:t>Program Director – PGY2 Infectious Diseases Residency</w:t>
      </w:r>
    </w:p>
    <w:p w14:paraId="7307E12F" w14:textId="5DAC86E5" w:rsidR="00CB449D" w:rsidRDefault="004D7222" w:rsidP="00DD68D3">
      <w:pPr>
        <w:rPr>
          <w:color w:val="595959" w:themeColor="text1" w:themeTint="A6"/>
        </w:rPr>
      </w:pPr>
      <w:r>
        <w:rPr>
          <w:color w:val="595959" w:themeColor="text1" w:themeTint="A6"/>
        </w:rPr>
        <w:t>UWHealth</w:t>
      </w:r>
    </w:p>
    <w:p w14:paraId="3EBFD655" w14:textId="5D697A61" w:rsidR="004D7222" w:rsidRPr="00145C63" w:rsidRDefault="004D7222" w:rsidP="00DD68D3">
      <w:pPr>
        <w:rPr>
          <w:color w:val="595959" w:themeColor="text1" w:themeTint="A6"/>
        </w:rPr>
      </w:pPr>
      <w:r>
        <w:rPr>
          <w:color w:val="595959" w:themeColor="text1" w:themeTint="A6"/>
        </w:rPr>
        <w:t>University of Wisconsin Hospital and Clinics</w:t>
      </w:r>
    </w:p>
    <w:p w14:paraId="1056CB21" w14:textId="77777777" w:rsidR="00CB449D" w:rsidRPr="00145C63" w:rsidRDefault="00CB449D" w:rsidP="00DD68D3">
      <w:pPr>
        <w:rPr>
          <w:color w:val="595959" w:themeColor="text1" w:themeTint="A6"/>
        </w:rPr>
      </w:pPr>
    </w:p>
    <w:p w14:paraId="6CBB589F" w14:textId="11B29945" w:rsidR="00CB449D" w:rsidRPr="00145C63" w:rsidRDefault="004D7222" w:rsidP="00DD68D3">
      <w:pPr>
        <w:rPr>
          <w:b/>
          <w:color w:val="595959" w:themeColor="text1" w:themeTint="A6"/>
        </w:rPr>
      </w:pPr>
      <w:r>
        <w:rPr>
          <w:b/>
          <w:color w:val="595959" w:themeColor="text1" w:themeTint="A6"/>
        </w:rPr>
        <w:t>Ashlee G. Hamel, PharmD, BCPS</w:t>
      </w:r>
    </w:p>
    <w:p w14:paraId="6A43CF55" w14:textId="29DDA7A0" w:rsidR="00CB449D" w:rsidRPr="00145C63" w:rsidRDefault="004D7222" w:rsidP="00DD68D3">
      <w:pPr>
        <w:rPr>
          <w:color w:val="595959" w:themeColor="text1" w:themeTint="A6"/>
        </w:rPr>
      </w:pPr>
      <w:r>
        <w:rPr>
          <w:color w:val="595959" w:themeColor="text1" w:themeTint="A6"/>
        </w:rPr>
        <w:t>System Manager, Pharmacy Clinical Programs</w:t>
      </w:r>
    </w:p>
    <w:p w14:paraId="4675EE95" w14:textId="0A34CDD7" w:rsidR="00CB449D" w:rsidRDefault="004D7222" w:rsidP="00DD68D3">
      <w:pPr>
        <w:rPr>
          <w:color w:val="595959" w:themeColor="text1" w:themeTint="A6"/>
        </w:rPr>
      </w:pPr>
      <w:r>
        <w:rPr>
          <w:color w:val="595959" w:themeColor="text1" w:themeTint="A6"/>
        </w:rPr>
        <w:t>Sentara Health</w:t>
      </w:r>
    </w:p>
    <w:p w14:paraId="26C97571" w14:textId="19AB3CB5" w:rsidR="004D7222" w:rsidRDefault="004D7222" w:rsidP="00DD68D3">
      <w:pPr>
        <w:rPr>
          <w:color w:val="595959" w:themeColor="text1" w:themeTint="A6"/>
        </w:rPr>
      </w:pPr>
    </w:p>
    <w:p w14:paraId="59449843" w14:textId="65ADCB76" w:rsidR="004D7222" w:rsidRPr="004D7222" w:rsidRDefault="004D7222" w:rsidP="00DD68D3">
      <w:pPr>
        <w:rPr>
          <w:b/>
          <w:bCs/>
          <w:color w:val="595959" w:themeColor="text1" w:themeTint="A6"/>
        </w:rPr>
      </w:pPr>
      <w:r w:rsidRPr="004D7222">
        <w:rPr>
          <w:b/>
          <w:bCs/>
          <w:color w:val="595959" w:themeColor="text1" w:themeTint="A6"/>
        </w:rPr>
        <w:t>Courtney J. Baus, PharmD</w:t>
      </w:r>
    </w:p>
    <w:p w14:paraId="10AECC34" w14:textId="33C1447D" w:rsidR="004D7222" w:rsidRDefault="004D7222" w:rsidP="00DD68D3">
      <w:pPr>
        <w:rPr>
          <w:color w:val="595959" w:themeColor="text1" w:themeTint="A6"/>
        </w:rPr>
      </w:pPr>
      <w:r>
        <w:rPr>
          <w:color w:val="595959" w:themeColor="text1" w:themeTint="A6"/>
        </w:rPr>
        <w:t>PGY2 Infectious Diseases Clinical Pharmacy Resident</w:t>
      </w:r>
    </w:p>
    <w:p w14:paraId="186D47AE" w14:textId="1F563EA8" w:rsidR="004D7222" w:rsidRDefault="004D7222" w:rsidP="00DD68D3">
      <w:pPr>
        <w:rPr>
          <w:color w:val="595959" w:themeColor="text1" w:themeTint="A6"/>
        </w:rPr>
      </w:pPr>
      <w:r>
        <w:rPr>
          <w:color w:val="595959" w:themeColor="text1" w:themeTint="A6"/>
        </w:rPr>
        <w:t>UW Health Hospital and Clinic</w:t>
      </w:r>
    </w:p>
    <w:p w14:paraId="1A0736CB" w14:textId="21CDD92C" w:rsidR="004D7222" w:rsidRDefault="004D7222" w:rsidP="00DD68D3">
      <w:pPr>
        <w:rPr>
          <w:color w:val="595959" w:themeColor="text1" w:themeTint="A6"/>
        </w:rPr>
      </w:pPr>
    </w:p>
    <w:p w14:paraId="71113523" w14:textId="45256008" w:rsidR="004D7222" w:rsidRPr="004D7222" w:rsidRDefault="004D7222" w:rsidP="00DD68D3">
      <w:pPr>
        <w:rPr>
          <w:b/>
          <w:bCs/>
          <w:color w:val="595959" w:themeColor="text1" w:themeTint="A6"/>
        </w:rPr>
      </w:pPr>
      <w:r w:rsidRPr="004D7222">
        <w:rPr>
          <w:b/>
          <w:bCs/>
          <w:color w:val="595959" w:themeColor="text1" w:themeTint="A6"/>
        </w:rPr>
        <w:t>Ravi K. Gandhi, PharmD</w:t>
      </w:r>
    </w:p>
    <w:p w14:paraId="45E1DECF" w14:textId="187AEBB6" w:rsidR="004D7222" w:rsidRDefault="004D7222" w:rsidP="00DD68D3">
      <w:pPr>
        <w:rPr>
          <w:color w:val="595959" w:themeColor="text1" w:themeTint="A6"/>
        </w:rPr>
      </w:pPr>
      <w:r>
        <w:rPr>
          <w:color w:val="595959" w:themeColor="text1" w:themeTint="A6"/>
        </w:rPr>
        <w:t>PGY-2 Infectious Diseases Resident</w:t>
      </w:r>
    </w:p>
    <w:p w14:paraId="3EB1566C" w14:textId="4AAE7A96" w:rsidR="004D7222" w:rsidRDefault="004D7222" w:rsidP="00DD68D3">
      <w:pPr>
        <w:rPr>
          <w:color w:val="595959" w:themeColor="text1" w:themeTint="A6"/>
        </w:rPr>
      </w:pPr>
      <w:r>
        <w:rPr>
          <w:color w:val="595959" w:themeColor="text1" w:themeTint="A6"/>
        </w:rPr>
        <w:t>UW Health Hospital and Clinic</w:t>
      </w:r>
    </w:p>
    <w:p w14:paraId="22A1B83E" w14:textId="3125DDA5" w:rsidR="004D7222" w:rsidRDefault="004D7222" w:rsidP="00DD68D3">
      <w:pPr>
        <w:rPr>
          <w:color w:val="595959" w:themeColor="text1" w:themeTint="A6"/>
        </w:rPr>
      </w:pPr>
    </w:p>
    <w:p w14:paraId="14B4C27C" w14:textId="7FD3A64D" w:rsidR="004D7222" w:rsidRPr="004D7222" w:rsidRDefault="004D7222" w:rsidP="00DD68D3">
      <w:pPr>
        <w:rPr>
          <w:b/>
          <w:bCs/>
          <w:color w:val="595959" w:themeColor="text1" w:themeTint="A6"/>
        </w:rPr>
      </w:pPr>
      <w:r w:rsidRPr="004D7222">
        <w:rPr>
          <w:b/>
          <w:bCs/>
          <w:color w:val="595959" w:themeColor="text1" w:themeTint="A6"/>
        </w:rPr>
        <w:t>Kristen Lindauer, PharmD</w:t>
      </w:r>
    </w:p>
    <w:p w14:paraId="759FE090" w14:textId="2F62FCF4" w:rsidR="004D7222" w:rsidRDefault="004D7222" w:rsidP="00DD68D3">
      <w:pPr>
        <w:rPr>
          <w:color w:val="595959" w:themeColor="text1" w:themeTint="A6"/>
        </w:rPr>
      </w:pPr>
      <w:r>
        <w:rPr>
          <w:color w:val="595959" w:themeColor="text1" w:themeTint="A6"/>
        </w:rPr>
        <w:t>PGY-1 Pharmacy Resident</w:t>
      </w:r>
    </w:p>
    <w:p w14:paraId="7A2F39C4" w14:textId="77777777" w:rsidR="004D7222" w:rsidRDefault="004D7222" w:rsidP="004D7222">
      <w:pPr>
        <w:rPr>
          <w:color w:val="595959" w:themeColor="text1" w:themeTint="A6"/>
        </w:rPr>
      </w:pPr>
      <w:r>
        <w:rPr>
          <w:color w:val="595959" w:themeColor="text1" w:themeTint="A6"/>
        </w:rPr>
        <w:t>Sentara Health</w:t>
      </w:r>
    </w:p>
    <w:p w14:paraId="038EE7DF" w14:textId="77777777" w:rsidR="004D7222" w:rsidRDefault="004D7222" w:rsidP="00DD68D3">
      <w:pPr>
        <w:rPr>
          <w:color w:val="595959" w:themeColor="text1" w:themeTint="A6"/>
        </w:rPr>
      </w:pPr>
    </w:p>
    <w:p w14:paraId="0E6FDE19" w14:textId="74A818DB" w:rsidR="004D7222" w:rsidRDefault="004D7222" w:rsidP="00DD68D3">
      <w:pPr>
        <w:rPr>
          <w:color w:val="595959" w:themeColor="text1" w:themeTint="A6"/>
        </w:rPr>
      </w:pPr>
    </w:p>
    <w:p w14:paraId="6FCE771A" w14:textId="77777777" w:rsidR="004D7222" w:rsidRPr="00145C63" w:rsidRDefault="004D7222"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D7222"/>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0B4F"/>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B3C8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SourceDataModel Name="System" TargetDataSourceId="00b80028-d226-4a39-9a19-6787589aad19"/>
</file>

<file path=customXml/item13.xml><?xml version="1.0" encoding="utf-8"?>
<VariableListDefinition name="AD_HOC" displayName="AD_HOC" id="9426ea6f-1b24-4683-bca3-85d71f6375fd" isdomainofvalue="False" dataSourceId="80be7e5f-6e71-448c-9228-23264555308c"/>
</file>

<file path=customXml/item14.xml><?xml version="1.0" encoding="utf-8"?>
<AllExternalAdhocVariableMapping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AllWordPDs>
</AllWordPDs>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AllMetadata/>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Computed" TargetDataSourceId="87651697-ca1f-4d80-9f69-bb743e325714"/>
</file>

<file path=customXml/item23.xml><?xml version="1.0" encoding="utf-8"?>
<SourceDataModel Name="AD_HOC" TargetDataSourceId="80be7e5f-6e71-448c-9228-23264555308c"/>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System" displayName="System" id="dc9731b4-d0d2-4ed5-b20d-434d69de1706" isdomainofvalue="False" dataSourceId="00b80028-d226-4a39-9a19-6787589aad19"/>
</file>

<file path=customXml/item5.xml><?xml version="1.0" encoding="utf-8"?>
<DocPartTree/>
</file>

<file path=customXml/item6.xml><?xml version="1.0" encoding="utf-8"?>
<VariableListDefinition name="Computed" displayName="Computed" id="69155e26-4760-488b-ab4c-bb15b0f8b2a2" isdomainofvalue="False" dataSourceId="87651697-ca1f-4d80-9f69-bb743e325714"/>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2021-12-15T20:02:00Z</dcterms:created>
  <dcterms:modified xsi:type="dcterms:W3CDTF">2021-12-15T21:24:00Z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