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590B06" w:rsidRDefault="00C370B8" w:rsidP="00590B06">
      <w:pPr>
        <w:pStyle w:val="Headline2"/>
      </w:pPr>
      <w:r w:rsidRPr="00590B06">
        <w:t>Information</w:t>
      </w:r>
      <w:r w:rsidR="008730EB" w:rsidRPr="00590B06">
        <w:t xml:space="preserve"> for continuing education </w:t>
      </w:r>
      <w:r w:rsidR="004B0F88" w:rsidRPr="00590B06">
        <w:t xml:space="preserve">(CE) </w:t>
      </w:r>
      <w:r w:rsidR="008730EB" w:rsidRPr="00590B06">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92AD1BA" w:rsidR="00423054" w:rsidRPr="00E50346" w:rsidRDefault="007E38A7" w:rsidP="00D6051F">
      <w:pPr>
        <w:pStyle w:val="Heading"/>
      </w:pPr>
      <w:r>
        <w:t>Helping Heal the Healers: The Second Victim</w:t>
      </w:r>
    </w:p>
    <w:p w14:paraId="0D0DC3CD" w14:textId="2216395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E38A7">
        <w:rPr>
          <w:color w:val="595959" w:themeColor="text1" w:themeTint="A6"/>
        </w:rPr>
        <w:t>December 2</w:t>
      </w:r>
      <w:r w:rsidR="0041223C">
        <w:rPr>
          <w:color w:val="595959" w:themeColor="text1" w:themeTint="A6"/>
        </w:rPr>
        <w:t>, 2020</w:t>
      </w:r>
    </w:p>
    <w:p w14:paraId="641D3E3A" w14:textId="75329A9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E23B0">
        <w:rPr>
          <w:color w:val="595959" w:themeColor="text1" w:themeTint="A6"/>
        </w:rPr>
        <w:t>Linda Thomas,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8BB631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B18FE">
        <w:rPr>
          <w:rFonts w:cs="Arial"/>
          <w:b/>
          <w:color w:val="595959" w:themeColor="text1" w:themeTint="A6"/>
          <w:szCs w:val="20"/>
        </w:rPr>
        <w:t>January 14, 2021</w:t>
      </w:r>
    </w:p>
    <w:p w14:paraId="03A41A56" w14:textId="0507D24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requirements, you will be able to print your statement of credit for pharmacy education.</w:t>
      </w:r>
    </w:p>
    <w:p w14:paraId="499319BA" w14:textId="77777777" w:rsidR="008730EB" w:rsidRPr="000211DF" w:rsidRDefault="008730EB" w:rsidP="008730EB">
      <w:pPr>
        <w:rPr>
          <w:rFonts w:cs="Arial"/>
          <w:szCs w:val="20"/>
        </w:rPr>
      </w:pPr>
    </w:p>
    <w:p w14:paraId="2B4ECF29" w14:textId="18B032FE"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73749B">
        <w:rPr>
          <w:rFonts w:cs="Arial"/>
          <w:b/>
          <w:color w:val="01ADAB"/>
          <w:sz w:val="24"/>
        </w:rPr>
        <w:t xml:space="preserve"> and pharmacy technicians</w:t>
      </w:r>
    </w:p>
    <w:p w14:paraId="096E2287" w14:textId="18566EDA"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t>
      </w:r>
      <w:r w:rsidR="00600A40">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0652D38D" w:rsidR="008730EB" w:rsidRPr="008730EB" w:rsidRDefault="001B18F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29ED2892" w:rsidR="0035174D" w:rsidRPr="00590B06" w:rsidRDefault="001B18FE" w:rsidP="005C5387">
      <w:pPr>
        <w:pStyle w:val="ListParagraph"/>
        <w:numPr>
          <w:ilvl w:val="0"/>
          <w:numId w:val="40"/>
        </w:numPr>
        <w:ind w:left="360"/>
        <w:rPr>
          <w:rFonts w:eastAsia="Calibri" w:cs="Arial"/>
          <w:i/>
          <w:color w:val="595959" w:themeColor="text1" w:themeTint="A6"/>
          <w:szCs w:val="20"/>
        </w:rPr>
      </w:pPr>
      <w:r w:rsidRPr="00590B06">
        <w:rPr>
          <w:rFonts w:eastAsia="Calibri" w:cs="Arial"/>
          <w:color w:val="595959" w:themeColor="text1" w:themeTint="A6"/>
          <w:szCs w:val="20"/>
        </w:rPr>
        <w:t>Review types of medication errors and their impact on healthcare workers’ wellbeing</w:t>
      </w:r>
    </w:p>
    <w:p w14:paraId="193176A5" w14:textId="65FEC665" w:rsidR="004A294A" w:rsidRPr="00590B06" w:rsidRDefault="001B18FE" w:rsidP="005C5387">
      <w:pPr>
        <w:pStyle w:val="ListParagraph"/>
        <w:numPr>
          <w:ilvl w:val="0"/>
          <w:numId w:val="40"/>
        </w:numPr>
        <w:ind w:left="360"/>
        <w:rPr>
          <w:rFonts w:cs="Arial"/>
          <w:color w:val="595959" w:themeColor="text1" w:themeTint="A6"/>
          <w:szCs w:val="20"/>
        </w:rPr>
      </w:pPr>
      <w:r w:rsidRPr="00590B06">
        <w:rPr>
          <w:rFonts w:eastAsia="Calibri" w:cs="Arial"/>
          <w:color w:val="595959" w:themeColor="text1" w:themeTint="A6"/>
          <w:szCs w:val="20"/>
        </w:rPr>
        <w:t>Define second victims and the hierarchy of those involved in medication errors</w:t>
      </w:r>
    </w:p>
    <w:p w14:paraId="19A14A12" w14:textId="2DC18463" w:rsidR="004A294A" w:rsidRPr="00590B06" w:rsidRDefault="001B18FE" w:rsidP="005C5387">
      <w:pPr>
        <w:pStyle w:val="ListParagraph"/>
        <w:numPr>
          <w:ilvl w:val="0"/>
          <w:numId w:val="40"/>
        </w:numPr>
        <w:ind w:left="360"/>
        <w:rPr>
          <w:rFonts w:cs="Arial"/>
          <w:color w:val="595959" w:themeColor="text1" w:themeTint="A6"/>
          <w:szCs w:val="20"/>
        </w:rPr>
      </w:pPr>
      <w:r w:rsidRPr="00590B06">
        <w:rPr>
          <w:rFonts w:cs="Arial"/>
          <w:color w:val="595959" w:themeColor="text1" w:themeTint="A6"/>
          <w:szCs w:val="20"/>
        </w:rPr>
        <w:t>Discuss suggested programs to support second victims</w:t>
      </w:r>
    </w:p>
    <w:p w14:paraId="02AF78EE" w14:textId="05095A55" w:rsidR="001C3080" w:rsidRPr="00590B06" w:rsidRDefault="001B18FE" w:rsidP="001C3080">
      <w:pPr>
        <w:pStyle w:val="ListParagraph"/>
        <w:numPr>
          <w:ilvl w:val="0"/>
          <w:numId w:val="40"/>
        </w:numPr>
        <w:ind w:left="360"/>
        <w:rPr>
          <w:color w:val="404040" w:themeColor="text1" w:themeTint="BF"/>
          <w:szCs w:val="20"/>
        </w:rPr>
      </w:pPr>
      <w:r w:rsidRPr="00590B06">
        <w:rPr>
          <w:color w:val="404040" w:themeColor="text1" w:themeTint="BF"/>
          <w:szCs w:val="20"/>
        </w:rPr>
        <w:t>Evaluate current literature surrounding second victims, the impact medication errors have on healthcare and suggest programs to support them</w:t>
      </w:r>
    </w:p>
    <w:p w14:paraId="7252726F" w14:textId="06BBDA98" w:rsidR="001B18FE" w:rsidRPr="008730EB" w:rsidRDefault="001B18FE" w:rsidP="001B18FE">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14:paraId="5FFD0CAD" w14:textId="77777777" w:rsidR="001B18FE" w:rsidRPr="00590B06" w:rsidRDefault="001B18FE" w:rsidP="00590B06">
      <w:pPr>
        <w:pStyle w:val="ListParagraph"/>
        <w:numPr>
          <w:ilvl w:val="0"/>
          <w:numId w:val="46"/>
        </w:numPr>
        <w:ind w:left="360"/>
        <w:rPr>
          <w:rFonts w:eastAsia="Calibri" w:cs="Arial"/>
          <w:color w:val="595959" w:themeColor="text1" w:themeTint="A6"/>
          <w:szCs w:val="20"/>
        </w:rPr>
      </w:pPr>
      <w:r w:rsidRPr="00590B06">
        <w:rPr>
          <w:rFonts w:eastAsia="Calibri" w:cs="Arial"/>
          <w:color w:val="595959" w:themeColor="text1" w:themeTint="A6"/>
          <w:szCs w:val="20"/>
        </w:rPr>
        <w:t>Review types of medication errors and their impact on healthcare workers’ wellbeing</w:t>
      </w:r>
    </w:p>
    <w:p w14:paraId="09DC2889" w14:textId="77777777" w:rsidR="001B18FE" w:rsidRPr="00590B06" w:rsidRDefault="001B18FE" w:rsidP="00590B06">
      <w:pPr>
        <w:pStyle w:val="ListParagraph"/>
        <w:numPr>
          <w:ilvl w:val="0"/>
          <w:numId w:val="46"/>
        </w:numPr>
        <w:ind w:left="360"/>
        <w:rPr>
          <w:rFonts w:cs="Arial"/>
          <w:color w:val="595959" w:themeColor="text1" w:themeTint="A6"/>
          <w:szCs w:val="20"/>
        </w:rPr>
      </w:pPr>
      <w:r w:rsidRPr="00590B06">
        <w:rPr>
          <w:rFonts w:eastAsia="Calibri" w:cs="Arial"/>
          <w:color w:val="595959" w:themeColor="text1" w:themeTint="A6"/>
          <w:szCs w:val="20"/>
        </w:rPr>
        <w:t>Define second victims and the hierarchy of those involved in medication errors</w:t>
      </w:r>
    </w:p>
    <w:p w14:paraId="5E0BC185" w14:textId="77777777" w:rsidR="001B18FE" w:rsidRPr="00590B06" w:rsidRDefault="001B18FE" w:rsidP="00590B06">
      <w:pPr>
        <w:pStyle w:val="ListParagraph"/>
        <w:numPr>
          <w:ilvl w:val="0"/>
          <w:numId w:val="46"/>
        </w:numPr>
        <w:ind w:left="360"/>
        <w:rPr>
          <w:rFonts w:cs="Arial"/>
          <w:color w:val="595959" w:themeColor="text1" w:themeTint="A6"/>
          <w:szCs w:val="20"/>
        </w:rPr>
      </w:pPr>
      <w:r w:rsidRPr="00590B06">
        <w:rPr>
          <w:rFonts w:cs="Arial"/>
          <w:color w:val="595959" w:themeColor="text1" w:themeTint="A6"/>
          <w:szCs w:val="20"/>
        </w:rPr>
        <w:t>Discuss suggested programs to support second victims</w:t>
      </w:r>
    </w:p>
    <w:p w14:paraId="040BFC89" w14:textId="77777777" w:rsidR="001B18FE" w:rsidRPr="00590B06" w:rsidRDefault="001B18FE" w:rsidP="00590B06">
      <w:pPr>
        <w:pStyle w:val="ListParagraph"/>
        <w:numPr>
          <w:ilvl w:val="0"/>
          <w:numId w:val="46"/>
        </w:numPr>
        <w:ind w:left="360"/>
        <w:rPr>
          <w:color w:val="404040" w:themeColor="text1" w:themeTint="BF"/>
          <w:szCs w:val="20"/>
        </w:rPr>
      </w:pPr>
      <w:r w:rsidRPr="00590B06">
        <w:rPr>
          <w:color w:val="404040" w:themeColor="text1" w:themeTint="BF"/>
          <w:szCs w:val="20"/>
        </w:rPr>
        <w:lastRenderedPageBreak/>
        <w:t>Evaluate current literature surrounding second victims, the impact medication errors have on healthcare and suggest programs to support them</w:t>
      </w:r>
    </w:p>
    <w:p w14:paraId="12FF970C" w14:textId="77777777" w:rsidR="001B18FE" w:rsidRPr="001B18FE" w:rsidRDefault="001B18FE" w:rsidP="001B18FE"/>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8F13E14"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AE23B0">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B06D478" w:rsidR="00C9605F" w:rsidRDefault="00C9605F" w:rsidP="00C9605F">
      <w:pPr>
        <w:rPr>
          <w:rFonts w:cs="Arial"/>
          <w:color w:val="595959" w:themeColor="text1" w:themeTint="A6"/>
        </w:rPr>
      </w:pPr>
      <w:r w:rsidRPr="00145C63">
        <w:rPr>
          <w:rFonts w:cs="Arial"/>
          <w:color w:val="595959" w:themeColor="text1" w:themeTint="A6"/>
        </w:rPr>
        <w:t>Universal Activity Number: JA0006103-</w:t>
      </w:r>
      <w:r w:rsidR="00AE23B0">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1B18FE">
        <w:rPr>
          <w:rFonts w:cs="Arial"/>
          <w:color w:val="595959" w:themeColor="text1" w:themeTint="A6"/>
        </w:rPr>
        <w:t>2</w:t>
      </w:r>
      <w:r w:rsidR="002E78CD">
        <w:rPr>
          <w:rFonts w:cs="Arial"/>
          <w:color w:val="595959" w:themeColor="text1" w:themeTint="A6"/>
        </w:rPr>
        <w:t>26</w:t>
      </w:r>
      <w:r w:rsidRPr="00145C63">
        <w:rPr>
          <w:rFonts w:cs="Arial"/>
          <w:color w:val="595959" w:themeColor="text1" w:themeTint="A6"/>
        </w:rPr>
        <w:t>-L0</w:t>
      </w:r>
      <w:r w:rsidR="001B18FE">
        <w:rPr>
          <w:rFonts w:cs="Arial"/>
          <w:color w:val="595959" w:themeColor="text1" w:themeTint="A6"/>
        </w:rPr>
        <w:t>5</w:t>
      </w:r>
      <w:r w:rsidRPr="00145C63">
        <w:rPr>
          <w:rFonts w:cs="Arial"/>
          <w:color w:val="595959" w:themeColor="text1" w:themeTint="A6"/>
        </w:rPr>
        <w:t>-P</w:t>
      </w:r>
    </w:p>
    <w:p w14:paraId="3A040CA1" w14:textId="2E7C329F" w:rsidR="001B18FE" w:rsidRPr="00145C63" w:rsidRDefault="001B18FE" w:rsidP="001B18FE">
      <w:pPr>
        <w:rPr>
          <w:rFonts w:cs="Arial"/>
          <w:color w:val="595959" w:themeColor="text1" w:themeTint="A6"/>
        </w:rPr>
      </w:pPr>
      <w:r w:rsidRPr="00145C63">
        <w:rPr>
          <w:rFonts w:cs="Arial"/>
          <w:color w:val="595959" w:themeColor="text1" w:themeTint="A6"/>
        </w:rPr>
        <w:t>Universal Activity Number: JA0006103-</w:t>
      </w:r>
      <w:r>
        <w:rPr>
          <w:rFonts w:cs="Arial"/>
          <w:color w:val="595959" w:themeColor="text1" w:themeTint="A6"/>
        </w:rPr>
        <w:t>9999</w:t>
      </w:r>
      <w:r w:rsidRPr="00145C63">
        <w:rPr>
          <w:rFonts w:cs="Arial"/>
          <w:color w:val="595959" w:themeColor="text1" w:themeTint="A6"/>
        </w:rPr>
        <w:t>-</w:t>
      </w:r>
      <w:r>
        <w:rPr>
          <w:rFonts w:cs="Arial"/>
          <w:color w:val="595959" w:themeColor="text1" w:themeTint="A6"/>
        </w:rPr>
        <w:t>20</w:t>
      </w:r>
      <w:r w:rsidRPr="00145C63">
        <w:rPr>
          <w:rFonts w:cs="Arial"/>
          <w:color w:val="595959" w:themeColor="text1" w:themeTint="A6"/>
        </w:rPr>
        <w:t>-</w:t>
      </w:r>
      <w:r>
        <w:rPr>
          <w:rFonts w:cs="Arial"/>
          <w:color w:val="595959" w:themeColor="text1" w:themeTint="A6"/>
        </w:rPr>
        <w:t>2</w:t>
      </w:r>
      <w:r w:rsidR="002E78CD">
        <w:rPr>
          <w:rFonts w:cs="Arial"/>
          <w:color w:val="595959" w:themeColor="text1" w:themeTint="A6"/>
        </w:rPr>
        <w:t>26</w:t>
      </w:r>
      <w:r w:rsidRPr="00145C63">
        <w:rPr>
          <w:rFonts w:cs="Arial"/>
          <w:color w:val="595959" w:themeColor="text1" w:themeTint="A6"/>
        </w:rPr>
        <w:t>-L0</w:t>
      </w:r>
      <w:r>
        <w:rPr>
          <w:rFonts w:cs="Arial"/>
          <w:color w:val="595959" w:themeColor="text1" w:themeTint="A6"/>
        </w:rPr>
        <w:t>5</w:t>
      </w:r>
      <w:r w:rsidRPr="00145C63">
        <w:rPr>
          <w:rFonts w:cs="Arial"/>
          <w:color w:val="595959" w:themeColor="text1" w:themeTint="A6"/>
        </w:rPr>
        <w:t>-</w:t>
      </w:r>
      <w:r>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054ABB0" w14:textId="77777777" w:rsidR="001B18FE" w:rsidRDefault="001B18FE" w:rsidP="001A3B80">
      <w:pPr>
        <w:pStyle w:val="Heading3"/>
        <w:spacing w:before="0"/>
        <w:rPr>
          <w:rFonts w:cs="Arial"/>
          <w:b w:val="0"/>
          <w:bCs w:val="0"/>
          <w:color w:val="01ADAB"/>
          <w:sz w:val="24"/>
        </w:rPr>
      </w:pPr>
    </w:p>
    <w:p w14:paraId="01680F72" w14:textId="57E4D1E2" w:rsidR="00CB449D" w:rsidRDefault="00CB449D" w:rsidP="001A3B80">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1A3B80"/>
    <w:p w14:paraId="7FAE090A" w14:textId="52A9E3F1" w:rsidR="00CB449D" w:rsidRPr="00145C63" w:rsidRDefault="00AE23B0" w:rsidP="001A3B80">
      <w:pPr>
        <w:rPr>
          <w:b/>
          <w:color w:val="595959" w:themeColor="text1" w:themeTint="A6"/>
        </w:rPr>
      </w:pPr>
      <w:r>
        <w:rPr>
          <w:b/>
          <w:color w:val="595959" w:themeColor="text1" w:themeTint="A6"/>
        </w:rPr>
        <w:t>Linda Thomas, PharmD, BCPS</w:t>
      </w:r>
    </w:p>
    <w:p w14:paraId="529DCE50" w14:textId="24191558" w:rsidR="00CB449D" w:rsidRPr="00145C63" w:rsidRDefault="00AE23B0" w:rsidP="001A3B80">
      <w:pPr>
        <w:rPr>
          <w:color w:val="595959" w:themeColor="text1" w:themeTint="A6"/>
        </w:rPr>
      </w:pPr>
      <w:r>
        <w:rPr>
          <w:color w:val="595959" w:themeColor="text1" w:themeTint="A6"/>
        </w:rPr>
        <w:t>Pharmacy Residency Coordinator</w:t>
      </w:r>
    </w:p>
    <w:p w14:paraId="548C8FA1" w14:textId="77777777" w:rsidR="00E407CC" w:rsidRPr="00145C63" w:rsidRDefault="00E407CC" w:rsidP="00E407CC">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1A3B80">
      <w:pPr>
        <w:rPr>
          <w:color w:val="7F7F7F" w:themeColor="text1" w:themeTint="80"/>
        </w:rPr>
      </w:pPr>
    </w:p>
    <w:p w14:paraId="11C41A61" w14:textId="11CAF94A" w:rsidR="00CB449D" w:rsidRPr="00145C63" w:rsidRDefault="001B18FE" w:rsidP="001A3B80">
      <w:pPr>
        <w:rPr>
          <w:b/>
          <w:color w:val="595959" w:themeColor="text1" w:themeTint="A6"/>
        </w:rPr>
      </w:pPr>
      <w:r>
        <w:rPr>
          <w:b/>
          <w:color w:val="595959" w:themeColor="text1" w:themeTint="A6"/>
        </w:rPr>
        <w:t>Lauren Gashlin, PharmD</w:t>
      </w:r>
    </w:p>
    <w:p w14:paraId="2B34AFB1" w14:textId="3F408946" w:rsidR="00CB449D" w:rsidRPr="00145C63" w:rsidRDefault="001B18FE" w:rsidP="001A3B80">
      <w:pPr>
        <w:rPr>
          <w:color w:val="595959" w:themeColor="text1" w:themeTint="A6"/>
        </w:rPr>
      </w:pPr>
      <w:r>
        <w:rPr>
          <w:color w:val="595959" w:themeColor="text1" w:themeTint="A6"/>
        </w:rPr>
        <w:t>Clinical Pharmacy Specialist – Medication Safety and Policy</w:t>
      </w:r>
    </w:p>
    <w:p w14:paraId="6E386127" w14:textId="77777777" w:rsidR="001B18FE" w:rsidRPr="00145C63" w:rsidRDefault="001B18FE" w:rsidP="001B18FE">
      <w:pPr>
        <w:rPr>
          <w:color w:val="595959" w:themeColor="text1" w:themeTint="A6"/>
        </w:rPr>
      </w:pPr>
      <w:r>
        <w:rPr>
          <w:color w:val="595959" w:themeColor="text1" w:themeTint="A6"/>
        </w:rPr>
        <w:t>University of Rochester Medical Center</w:t>
      </w:r>
    </w:p>
    <w:p w14:paraId="0B0D8A21" w14:textId="77777777" w:rsidR="00CB449D" w:rsidRPr="00145C63" w:rsidRDefault="00CB449D" w:rsidP="001A3B80">
      <w:pPr>
        <w:rPr>
          <w:color w:val="595959" w:themeColor="text1" w:themeTint="A6"/>
        </w:rPr>
      </w:pPr>
    </w:p>
    <w:p w14:paraId="30F378A1" w14:textId="5F792F92" w:rsidR="00CB449D" w:rsidRDefault="00CB449D" w:rsidP="001A3B80">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722E435" w14:textId="77777777" w:rsidR="001A3B80" w:rsidRPr="001A3B80" w:rsidRDefault="001A3B80" w:rsidP="001A3B80"/>
    <w:p w14:paraId="48DC7F33" w14:textId="77777777" w:rsidR="001A3B80" w:rsidRPr="00A872A1" w:rsidRDefault="001A3B80" w:rsidP="001A3B80">
      <w:pPr>
        <w:rPr>
          <w:rFonts w:cs="Arial"/>
          <w:b/>
          <w:color w:val="595959" w:themeColor="text1" w:themeTint="A6"/>
        </w:rPr>
      </w:pPr>
      <w:r w:rsidRPr="00A872A1">
        <w:rPr>
          <w:rFonts w:cs="Arial"/>
          <w:b/>
          <w:color w:val="595959" w:themeColor="text1" w:themeTint="A6"/>
        </w:rPr>
        <w:t>Gretchen Brummel, PharmD, BCPS</w:t>
      </w:r>
    </w:p>
    <w:p w14:paraId="4E08A3FD" w14:textId="77777777" w:rsidR="001A3B80" w:rsidRDefault="001A3B80" w:rsidP="001A3B80">
      <w:pPr>
        <w:rPr>
          <w:rFonts w:cs="Arial"/>
          <w:color w:val="595959" w:themeColor="text1" w:themeTint="A6"/>
        </w:rPr>
      </w:pPr>
      <w:r>
        <w:rPr>
          <w:rFonts w:cs="Arial"/>
          <w:color w:val="595959" w:themeColor="text1" w:themeTint="A6"/>
        </w:rPr>
        <w:t>Consulting Director, Pharmacy</w:t>
      </w:r>
    </w:p>
    <w:p w14:paraId="3C88004B" w14:textId="77777777" w:rsidR="001A3B80" w:rsidRPr="00266041" w:rsidRDefault="001A3B80" w:rsidP="001A3B80">
      <w:pPr>
        <w:rPr>
          <w:rFonts w:cs="Arial"/>
          <w:color w:val="595959" w:themeColor="text1" w:themeTint="A6"/>
        </w:rPr>
      </w:pPr>
      <w:r>
        <w:rPr>
          <w:rFonts w:cs="Arial"/>
          <w:color w:val="595959" w:themeColor="text1" w:themeTint="A6"/>
        </w:rPr>
        <w:t>Vizient</w:t>
      </w:r>
    </w:p>
    <w:p w14:paraId="21C46B0A" w14:textId="77777777" w:rsidR="00CB449D" w:rsidRPr="00145C63" w:rsidRDefault="00CB449D" w:rsidP="001A3B80">
      <w:pPr>
        <w:rPr>
          <w:color w:val="595959" w:themeColor="text1" w:themeTint="A6"/>
        </w:rPr>
      </w:pPr>
    </w:p>
    <w:p w14:paraId="7E02880C" w14:textId="20999BE0" w:rsidR="00CB449D" w:rsidRDefault="00CB449D" w:rsidP="001A3B80">
      <w:pPr>
        <w:pStyle w:val="Heading3"/>
        <w:spacing w:before="0"/>
        <w:rPr>
          <w:rFonts w:cs="Arial"/>
          <w:b w:val="0"/>
          <w:bCs w:val="0"/>
          <w:color w:val="01ADAB"/>
          <w:sz w:val="24"/>
        </w:rPr>
      </w:pPr>
      <w:r>
        <w:rPr>
          <w:rFonts w:cs="Arial"/>
          <w:b w:val="0"/>
          <w:bCs w:val="0"/>
          <w:color w:val="01ADAB"/>
          <w:sz w:val="24"/>
        </w:rPr>
        <w:t>Presenter</w:t>
      </w:r>
    </w:p>
    <w:p w14:paraId="3FFD92F4" w14:textId="77777777" w:rsidR="001A3B80" w:rsidRPr="001A3B80" w:rsidRDefault="001A3B80" w:rsidP="001A3B80"/>
    <w:p w14:paraId="422A3FF3" w14:textId="355CE0D1" w:rsidR="00CB449D" w:rsidRPr="00145C63" w:rsidRDefault="001B18FE" w:rsidP="001A3B80">
      <w:pPr>
        <w:rPr>
          <w:b/>
          <w:color w:val="595959" w:themeColor="text1" w:themeTint="A6"/>
        </w:rPr>
      </w:pPr>
      <w:r>
        <w:rPr>
          <w:b/>
          <w:color w:val="595959" w:themeColor="text1" w:themeTint="A6"/>
        </w:rPr>
        <w:t>Samantha Aierle, PharmD</w:t>
      </w:r>
    </w:p>
    <w:p w14:paraId="69E43666" w14:textId="47583055" w:rsidR="00CB449D" w:rsidRPr="00145C63" w:rsidRDefault="00E407CC" w:rsidP="001A3B80">
      <w:pPr>
        <w:rPr>
          <w:color w:val="595959" w:themeColor="text1" w:themeTint="A6"/>
        </w:rPr>
      </w:pPr>
      <w:r>
        <w:rPr>
          <w:color w:val="595959" w:themeColor="text1" w:themeTint="A6"/>
        </w:rPr>
        <w:t>PGY</w:t>
      </w:r>
      <w:r w:rsidR="001B18FE">
        <w:rPr>
          <w:color w:val="595959" w:themeColor="text1" w:themeTint="A6"/>
        </w:rPr>
        <w:t>1</w:t>
      </w:r>
      <w:r>
        <w:rPr>
          <w:color w:val="595959" w:themeColor="text1" w:themeTint="A6"/>
        </w:rPr>
        <w:t xml:space="preserve"> Pharmacy Resident</w:t>
      </w:r>
    </w:p>
    <w:p w14:paraId="50CAD4DB" w14:textId="2D0C435A" w:rsidR="00AE23B0" w:rsidRPr="00145C63" w:rsidRDefault="00E407CC" w:rsidP="001A3B80">
      <w:pPr>
        <w:rPr>
          <w:color w:val="595959" w:themeColor="text1" w:themeTint="A6"/>
        </w:rPr>
      </w:pPr>
      <w:r>
        <w:rPr>
          <w:color w:val="595959" w:themeColor="text1" w:themeTint="A6"/>
        </w:rPr>
        <w:t>University of Rochester Medical Center</w:t>
      </w:r>
    </w:p>
    <w:p w14:paraId="1056CB21" w14:textId="77777777" w:rsidR="00CB449D" w:rsidRPr="00145C63" w:rsidRDefault="00CB449D"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94D79"/>
    <w:multiLevelType w:val="hybridMultilevel"/>
    <w:tmpl w:val="E0CA6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29"/>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39"/>
  </w:num>
  <w:num w:numId="20">
    <w:abstractNumId w:val="28"/>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A3B80"/>
    <w:rsid w:val="001B18FE"/>
    <w:rsid w:val="001C3080"/>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2E78CD"/>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23C"/>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0B06"/>
    <w:rsid w:val="00592B90"/>
    <w:rsid w:val="005A78EF"/>
    <w:rsid w:val="005C5387"/>
    <w:rsid w:val="005F37E5"/>
    <w:rsid w:val="005F3EA9"/>
    <w:rsid w:val="005F53FC"/>
    <w:rsid w:val="005F7196"/>
    <w:rsid w:val="00600A40"/>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49B"/>
    <w:rsid w:val="00743621"/>
    <w:rsid w:val="00745310"/>
    <w:rsid w:val="00751A26"/>
    <w:rsid w:val="00756986"/>
    <w:rsid w:val="00775D79"/>
    <w:rsid w:val="007910DA"/>
    <w:rsid w:val="0079149D"/>
    <w:rsid w:val="007C2570"/>
    <w:rsid w:val="007C6E08"/>
    <w:rsid w:val="007D473D"/>
    <w:rsid w:val="007E38A7"/>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23B0"/>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0E18"/>
    <w:rsid w:val="00DE18AA"/>
    <w:rsid w:val="00DE3426"/>
    <w:rsid w:val="00DF65D5"/>
    <w:rsid w:val="00E407CC"/>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590B06"/>
    <w:pPr>
      <w:tabs>
        <w:tab w:val="left" w:pos="4664"/>
      </w:tabs>
    </w:pPr>
    <w:rPr>
      <w:color w:val="696969"/>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VariableListDefinition name="Computed" displayName="Computed" id="69155e26-4760-488b-ab4c-bb15b0f8b2a2" isdomainofvalue="False" dataSourceId="87651697-ca1f-4d80-9f69-bb743e325714"/>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SourceDataModel Name="System" TargetDataSourceId="00b80028-d226-4a39-9a19-6787589aad19"/>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AllWordPDs>
</AllWordPDs>
</file>

<file path=customXml/item21.xml><?xml version="1.0" encoding="utf-8"?>
<SourceDataModel Name="AD_HOC" TargetDataSourceId="80be7e5f-6e71-448c-9228-23264555308c"/>
</file>

<file path=customXml/item22.xml><?xml version="1.0" encoding="utf-8"?>
<AllMetadata/>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VariableUsageMapping/>
</file>

<file path=customXml/item25.xml><?xml version="1.0" encoding="utf-8"?>
<AllExternalAdhocVariableMapping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Definition name="AD_HOC" displayName="AD_HOC" id="9426ea6f-1b24-4683-bca3-85d71f6375fd" isdomainofvalue="False" dataSourceId="80be7e5f-6e71-448c-9228-23264555308c"/>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VariableListDefinition name="System" displayName="System" id="dc9731b4-d0d2-4ed5-b20d-434d69de1706" isdomainofvalue="False" dataSourceId="00b80028-d226-4a39-9a19-6787589aad19"/>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DocPartTree/>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2020-11-09T20:28:00Z</dcterms:created>
  <dcterms:modified xsi:type="dcterms:W3CDTF">2020-11-10T15:28:00Z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