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F21F63" w:rsidP="00D6051F">
      <w:pPr>
        <w:pStyle w:val="Heading"/>
      </w:pPr>
      <w:r>
        <w:t>Gene Therapy – a New Frontier for Modern Medicine</w:t>
      </w:r>
    </w:p>
    <w:p w:rsidR="00423054" w:rsidRDefault="00155E54" w:rsidP="004A294A">
      <w:pPr>
        <w:pStyle w:val="BodyText1"/>
      </w:pPr>
      <w:r>
        <w:t>Activity date</w:t>
      </w:r>
      <w:r w:rsidR="0013180C">
        <w:t xml:space="preserve">: </w:t>
      </w:r>
      <w:r w:rsidR="005C4375">
        <w:t>October 2</w:t>
      </w:r>
      <w:r w:rsidR="00F21F63">
        <w:t>3</w:t>
      </w:r>
      <w:r w:rsidR="00E875B7">
        <w:t>, 2019</w:t>
      </w:r>
    </w:p>
    <w:p w:rsidR="00EA13B8" w:rsidRDefault="0013180C" w:rsidP="00423054">
      <w:pPr>
        <w:pStyle w:val="BodyText1"/>
      </w:pPr>
      <w:r>
        <w:t xml:space="preserve">Course director: </w:t>
      </w:r>
      <w:r w:rsidR="00F21F63">
        <w:t>Jackie Stokes</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9C1FD1" w:rsidRPr="009C1FD1">
        <w:rPr>
          <w:rFonts w:cs="Arial"/>
          <w:b/>
          <w:color w:val="696969"/>
          <w:szCs w:val="20"/>
        </w:rPr>
        <w:t xml:space="preserve">December </w:t>
      </w:r>
      <w:r w:rsidR="00333E8C">
        <w:rPr>
          <w:rFonts w:cs="Arial"/>
          <w:b/>
          <w:color w:val="696969"/>
          <w:szCs w:val="20"/>
        </w:rPr>
        <w:t>8</w:t>
      </w:r>
      <w:r w:rsidR="00E875B7" w:rsidRPr="009C1FD1">
        <w:rPr>
          <w:rFonts w:cs="Arial"/>
          <w:b/>
          <w:color w:val="696969"/>
          <w:szCs w:val="20"/>
        </w:rPr>
        <w:t>,</w:t>
      </w:r>
      <w:r w:rsidR="00E875B7" w:rsidRPr="004F19B4">
        <w:rPr>
          <w:rFonts w:cs="Arial"/>
          <w:b/>
          <w:color w:val="696969"/>
          <w:szCs w:val="20"/>
        </w:rPr>
        <w:t xml:space="preserve">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33E8C" w:rsidRPr="00333E8C" w:rsidRDefault="00333E8C" w:rsidP="00333E8C">
      <w:pPr>
        <w:pStyle w:val="ListParagraph"/>
        <w:numPr>
          <w:ilvl w:val="0"/>
          <w:numId w:val="40"/>
        </w:numPr>
        <w:ind w:left="360"/>
        <w:rPr>
          <w:rFonts w:ascii="Calibri" w:hAnsi="Calibri"/>
          <w:color w:val="595959" w:themeColor="text1" w:themeTint="A6"/>
        </w:rPr>
      </w:pPr>
      <w:r w:rsidRPr="00333E8C">
        <w:rPr>
          <w:color w:val="595959" w:themeColor="text1" w:themeTint="A6"/>
        </w:rPr>
        <w:t>Explain the mechanisms of gene therapy</w:t>
      </w:r>
    </w:p>
    <w:p w:rsidR="00333E8C" w:rsidRPr="00333E8C" w:rsidRDefault="00333E8C" w:rsidP="00333E8C">
      <w:pPr>
        <w:pStyle w:val="ListParagraph"/>
        <w:numPr>
          <w:ilvl w:val="0"/>
          <w:numId w:val="40"/>
        </w:numPr>
        <w:ind w:left="360"/>
        <w:rPr>
          <w:rFonts w:ascii="Calibri" w:hAnsi="Calibri"/>
          <w:color w:val="595959" w:themeColor="text1" w:themeTint="A6"/>
        </w:rPr>
      </w:pPr>
      <w:r w:rsidRPr="00333E8C">
        <w:rPr>
          <w:color w:val="595959" w:themeColor="text1" w:themeTint="A6"/>
        </w:rPr>
        <w:t>Identify organizational needs to provide gene therapy to patients</w:t>
      </w:r>
    </w:p>
    <w:p w:rsidR="00EF048C" w:rsidRDefault="008C28EE" w:rsidP="00EF048C">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8C28EE" w:rsidRPr="008C28EE" w:rsidRDefault="00333E8C" w:rsidP="00333E8C">
      <w:pPr>
        <w:pStyle w:val="ListParagraph"/>
        <w:numPr>
          <w:ilvl w:val="0"/>
          <w:numId w:val="50"/>
        </w:numPr>
        <w:ind w:left="360"/>
      </w:pPr>
      <w:r w:rsidRPr="00333E8C">
        <w:rPr>
          <w:color w:val="595959" w:themeColor="text1" w:themeTint="A6"/>
        </w:rPr>
        <w:t>Describe biosafety requirements for safely managing gene therapy products throughout the medication use process</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Inc. designates this activity for a maximum of 1.</w:t>
      </w:r>
      <w:r w:rsidR="00027478">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200</w:t>
      </w:r>
      <w:r>
        <w:rPr>
          <w:rFonts w:cs="Arial"/>
          <w:color w:val="696969"/>
        </w:rPr>
        <w:t>-L0</w:t>
      </w:r>
      <w:r w:rsidR="00333E8C">
        <w:rPr>
          <w:rFonts w:cs="Arial"/>
          <w:color w:val="696969"/>
        </w:rPr>
        <w:t>1</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200</w:t>
      </w:r>
      <w:r>
        <w:rPr>
          <w:rFonts w:cs="Arial"/>
          <w:color w:val="696969"/>
        </w:rPr>
        <w:t>-L0</w:t>
      </w:r>
      <w:r w:rsidR="00333E8C">
        <w:rPr>
          <w:rFonts w:cs="Arial"/>
          <w:color w:val="696969"/>
        </w:rPr>
        <w:t>1</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333E8C" w:rsidRDefault="00333E8C" w:rsidP="004B0F88">
      <w:pPr>
        <w:spacing w:before="120"/>
        <w:rPr>
          <w:rFonts w:cs="Arial"/>
          <w:bCs/>
          <w:color w:val="696969"/>
          <w:szCs w:val="20"/>
        </w:rPr>
      </w:pPr>
    </w:p>
    <w:p w:rsidR="004B0F88" w:rsidRPr="007358CD" w:rsidRDefault="004B0F88" w:rsidP="004B0F88">
      <w:pPr>
        <w:spacing w:before="120"/>
        <w:rPr>
          <w:rFonts w:cs="Arial"/>
          <w:bCs/>
          <w:color w:val="696969"/>
          <w:szCs w:val="20"/>
        </w:rPr>
      </w:pPr>
      <w:bookmarkStart w:id="0" w:name="_GoBack"/>
      <w:bookmarkEnd w:id="0"/>
      <w:r w:rsidRPr="007358CD">
        <w:rPr>
          <w:rFonts w:cs="Arial"/>
          <w:bCs/>
          <w:color w:val="696969"/>
          <w:szCs w:val="20"/>
        </w:rPr>
        <w:t xml:space="preserve">Relevant financial relationships: </w:t>
      </w:r>
      <w:r w:rsidR="00333E8C">
        <w:rPr>
          <w:rFonts w:cs="Arial"/>
          <w:bCs/>
          <w:color w:val="696969"/>
          <w:szCs w:val="20"/>
        </w:rPr>
        <w:t xml:space="preserve">Michael </w:t>
      </w:r>
      <w:proofErr w:type="spellStart"/>
      <w:r w:rsidR="00333E8C">
        <w:rPr>
          <w:rFonts w:cs="Arial"/>
          <w:bCs/>
          <w:color w:val="696969"/>
          <w:szCs w:val="20"/>
        </w:rPr>
        <w:t>Storey</w:t>
      </w:r>
      <w:proofErr w:type="spellEnd"/>
      <w:r w:rsidR="00333E8C">
        <w:rPr>
          <w:rFonts w:cs="Arial"/>
          <w:bCs/>
          <w:color w:val="696969"/>
          <w:szCs w:val="20"/>
        </w:rPr>
        <w:t xml:space="preserve"> received honorarium/consultant fees from </w:t>
      </w:r>
      <w:proofErr w:type="spellStart"/>
      <w:r w:rsidR="00333E8C">
        <w:rPr>
          <w:rFonts w:cs="Arial"/>
          <w:bCs/>
          <w:color w:val="696969"/>
          <w:szCs w:val="20"/>
        </w:rPr>
        <w:t>AveXis</w:t>
      </w:r>
      <w:proofErr w:type="spellEnd"/>
      <w:r w:rsidR="00333E8C">
        <w:rPr>
          <w:rFonts w:cs="Arial"/>
          <w:bCs/>
          <w:color w:val="696969"/>
          <w:szCs w:val="20"/>
        </w:rPr>
        <w:t>, Inc. – A Novartis Company</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8730EB" w:rsidRDefault="008730EB" w:rsidP="008730EB">
      <w:pPr>
        <w:pStyle w:val="Heading3"/>
        <w:spacing w:before="0" w:after="120"/>
        <w:rPr>
          <w:rFonts w:cs="Arial"/>
          <w:color w:val="01ADAB"/>
          <w:sz w:val="24"/>
        </w:rPr>
      </w:pPr>
      <w:r w:rsidRPr="008730EB">
        <w:rPr>
          <w:rFonts w:cs="Arial"/>
          <w:color w:val="01ADAB"/>
          <w:sz w:val="24"/>
        </w:rPr>
        <w:t>Speaker</w:t>
      </w:r>
    </w:p>
    <w:p w:rsidR="00A71502" w:rsidRPr="00A71502" w:rsidRDefault="00333E8C" w:rsidP="00A71502">
      <w:pPr>
        <w:rPr>
          <w:b/>
          <w:color w:val="595959" w:themeColor="text1" w:themeTint="A6"/>
        </w:rPr>
      </w:pPr>
      <w:r>
        <w:rPr>
          <w:b/>
          <w:color w:val="595959" w:themeColor="text1" w:themeTint="A6"/>
        </w:rPr>
        <w:t xml:space="preserve">Michael </w:t>
      </w:r>
      <w:proofErr w:type="spellStart"/>
      <w:r>
        <w:rPr>
          <w:b/>
          <w:color w:val="595959" w:themeColor="text1" w:themeTint="A6"/>
        </w:rPr>
        <w:t>Storey</w:t>
      </w:r>
      <w:proofErr w:type="spellEnd"/>
      <w:r>
        <w:rPr>
          <w:b/>
          <w:color w:val="595959" w:themeColor="text1" w:themeTint="A6"/>
        </w:rPr>
        <w:t xml:space="preserve">, </w:t>
      </w:r>
      <w:proofErr w:type="spellStart"/>
      <w:r>
        <w:rPr>
          <w:b/>
          <w:color w:val="595959" w:themeColor="text1" w:themeTint="A6"/>
        </w:rPr>
        <w:t>PharmD</w:t>
      </w:r>
      <w:proofErr w:type="spellEnd"/>
      <w:r>
        <w:rPr>
          <w:b/>
          <w:color w:val="595959" w:themeColor="text1" w:themeTint="A6"/>
        </w:rPr>
        <w:t>, MS, BCPS</w:t>
      </w:r>
    </w:p>
    <w:p w:rsidR="00A71502" w:rsidRPr="00A71502" w:rsidRDefault="00333E8C" w:rsidP="00A71502">
      <w:pPr>
        <w:rPr>
          <w:color w:val="595959" w:themeColor="text1" w:themeTint="A6"/>
        </w:rPr>
      </w:pPr>
      <w:r>
        <w:rPr>
          <w:color w:val="595959" w:themeColor="text1" w:themeTint="A6"/>
        </w:rPr>
        <w:t>Medication Use and Formulary Management</w:t>
      </w:r>
    </w:p>
    <w:p w:rsidR="00A71502" w:rsidRPr="00A71502" w:rsidRDefault="00333E8C" w:rsidP="00A71502">
      <w:pPr>
        <w:rPr>
          <w:color w:val="595959" w:themeColor="text1" w:themeTint="A6"/>
        </w:rPr>
      </w:pPr>
      <w:r>
        <w:rPr>
          <w:color w:val="595959" w:themeColor="text1" w:themeTint="A6"/>
        </w:rPr>
        <w:t>Nationwide Children’s Hospital</w:t>
      </w:r>
    </w:p>
    <w:p w:rsidR="00A71502" w:rsidRPr="00A71502" w:rsidRDefault="00A71502" w:rsidP="00A71502">
      <w:pPr>
        <w:rPr>
          <w:color w:val="595959" w:themeColor="text1" w:themeTint="A6"/>
        </w:rPr>
      </w:pP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71D"/>
    <w:multiLevelType w:val="hybridMultilevel"/>
    <w:tmpl w:val="76D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BF2"/>
    <w:multiLevelType w:val="hybridMultilevel"/>
    <w:tmpl w:val="93A6D29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B4717"/>
    <w:multiLevelType w:val="hybridMultilevel"/>
    <w:tmpl w:val="DEBE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E431F86"/>
    <w:multiLevelType w:val="hybridMultilevel"/>
    <w:tmpl w:val="CF00EE2C"/>
    <w:lvl w:ilvl="0" w:tplc="7C949C18">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7"/>
  </w:num>
  <w:num w:numId="12">
    <w:abstractNumId w:val="30"/>
  </w:num>
  <w:num w:numId="13">
    <w:abstractNumId w:val="20"/>
  </w:num>
  <w:num w:numId="14">
    <w:abstractNumId w:val="35"/>
  </w:num>
  <w:num w:numId="15">
    <w:abstractNumId w:val="23"/>
  </w:num>
  <w:num w:numId="16">
    <w:abstractNumId w:val="9"/>
  </w:num>
  <w:num w:numId="17">
    <w:abstractNumId w:val="18"/>
  </w:num>
  <w:num w:numId="18">
    <w:abstractNumId w:val="39"/>
  </w:num>
  <w:num w:numId="19">
    <w:abstractNumId w:val="42"/>
  </w:num>
  <w:num w:numId="20">
    <w:abstractNumId w:val="32"/>
  </w:num>
  <w:num w:numId="21">
    <w:abstractNumId w:val="12"/>
  </w:num>
  <w:num w:numId="22">
    <w:abstractNumId w:val="26"/>
  </w:num>
  <w:num w:numId="23">
    <w:abstractNumId w:val="16"/>
  </w:num>
  <w:num w:numId="24">
    <w:abstractNumId w:val="38"/>
  </w:num>
  <w:num w:numId="25">
    <w:abstractNumId w:val="5"/>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5"/>
  </w:num>
  <w:num w:numId="35">
    <w:abstractNumId w:val="13"/>
  </w:num>
  <w:num w:numId="36">
    <w:abstractNumId w:val="1"/>
  </w:num>
  <w:num w:numId="37">
    <w:abstractNumId w:val="0"/>
  </w:num>
  <w:num w:numId="38">
    <w:abstractNumId w:val="8"/>
  </w:num>
  <w:num w:numId="39">
    <w:abstractNumId w:val="10"/>
  </w:num>
  <w:num w:numId="40">
    <w:abstractNumId w:val="4"/>
  </w:num>
  <w:num w:numId="41">
    <w:abstractNumId w:val="22"/>
  </w:num>
  <w:num w:numId="42">
    <w:abstractNumId w:val="34"/>
  </w:num>
  <w:num w:numId="43">
    <w:abstractNumId w:val="19"/>
  </w:num>
  <w:num w:numId="44">
    <w:abstractNumId w:val="14"/>
  </w:num>
  <w:num w:numId="45">
    <w:abstractNumId w:val="27"/>
  </w:num>
  <w:num w:numId="46">
    <w:abstractNumId w:val="3"/>
  </w:num>
  <w:num w:numId="47">
    <w:abstractNumId w:val="15"/>
  </w:num>
  <w:num w:numId="48">
    <w:abstractNumId w:val="2"/>
  </w:num>
  <w:num w:numId="49">
    <w:abstractNumId w:val="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4375"/>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6D9"/>
    <w:rsid w:val="006B7975"/>
    <w:rsid w:val="006C2361"/>
    <w:rsid w:val="006D079A"/>
    <w:rsid w:val="006D094B"/>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1FD1"/>
    <w:rsid w:val="009D4020"/>
    <w:rsid w:val="009F4A49"/>
    <w:rsid w:val="00A00028"/>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VariableListDefinition name="Computed" displayName="Computed" id="69155e26-4760-488b-ab4c-bb15b0f8b2a2" isdomainofvalue="False" dataSourceId="87651697-ca1f-4d80-9f69-bb743e325714"/>
</file>

<file path=customXml/item11.xml><?xml version="1.0" encoding="utf-8"?>
<SourceDataModel Name="AD_HOC" TargetDataSourceId="80be7e5f-6e71-448c-9228-23264555308c"/>
</file>

<file path=customXml/item12.xml><?xml version="1.0" encoding="utf-8"?>
<DocPartTree/>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AD_HOC" displayName="AD_HOC" id="9426ea6f-1b24-4683-bca3-85d71f6375fd" isdomainofvalue="False" dataSourceId="80be7e5f-6e71-448c-9228-23264555308c"/>
</file>

<file path=customXml/item15.xml><?xml version="1.0" encoding="utf-8"?>
<AllExternalAdhocVariableMappings/>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VariableUsageMapping/>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AllWordPDs>
</AllWordPDs>
</file>

<file path=customXml/item7.xml><?xml version="1.0" encoding="utf-8"?>
<SourceDataModel Name="System" TargetDataSourceId="00b80028-d226-4a39-9a19-6787589aad19"/>
</file>

<file path=customXml/item8.xml><?xml version="1.0" encoding="utf-8"?>
<VariableListDefinition name="System" displayName="System" id="dc9731b4-d0d2-4ed5-b20d-434d69de1706" isdomainofvalue="False" dataSourceId="00b80028-d226-4a39-9a19-6787589aad19"/>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5BEF3205-EB69-4E70-BFE8-AFB1DD2B0B96}">
  <ds:schemaRefs>
    <ds:schemaRef ds:uri="01e59a59-e903-4787-b1b4-4a99956146e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1de6e417-ba3b-42be-b14a-7f4cb43c809f"/>
    <ds:schemaRef ds:uri="http://schemas.openxmlformats.org/package/2006/metadata/core-properties"/>
    <ds:schemaRef ds:uri="http://schemas.microsoft.com/office/2006/metadata/properties"/>
    <ds:schemaRef ds:uri="fff2b044-c74a-4bd8-8e92-b14b9b13b2b5"/>
    <ds:schemaRef ds:uri="0b2929d2-a33e-45c9-980d-b30e626659d9"/>
    <ds:schemaRef ds:uri="http://schemas.microsoft.com/sharepoint/v3/fields"/>
    <ds:schemaRef ds:uri="http://schemas.microsoft.com/sharepoint/v3"/>
    <ds:schemaRef ds:uri="http://www.w3.org/XML/1998/namespace"/>
  </ds:schemaRefs>
</ds:datastoreItem>
</file>

<file path=customXml/itemProps27.xml><?xml version="1.0" encoding="utf-8"?>
<ds:datastoreItem xmlns:ds="http://schemas.openxmlformats.org/officeDocument/2006/customXml" ds:itemID="{F1504CA9-B76E-4DE8-89BF-2C052CF10313}">
  <ds:schemaRefs>
    <ds:schemaRef ds:uri="http://schemas.openxmlformats.org/officeDocument/2006/bibliography"/>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2019-09-20T16:38:00Z</dcterms:created>
  <dcterms:modified xsi:type="dcterms:W3CDTF">2019-09-20T16:44:00Z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