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8C52C8B" w14:textId="36725E6B" w:rsidR="007004E5" w:rsidRPr="002F274A" w:rsidRDefault="00DF71E8" w:rsidP="007004E5">
      <w:pPr>
        <w:pStyle w:val="Heading"/>
      </w:pPr>
      <w:r>
        <w:t>Don’t get your platelets in a bunch: a review of hypercoagulability associated with COVID-19</w:t>
      </w:r>
    </w:p>
    <w:p w14:paraId="0D0DC3CD" w14:textId="0C5BE2B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866A9">
        <w:rPr>
          <w:color w:val="595959" w:themeColor="text1" w:themeTint="A6"/>
        </w:rPr>
        <w:t>January 1</w:t>
      </w:r>
      <w:r w:rsidR="00DF71E8">
        <w:rPr>
          <w:color w:val="595959" w:themeColor="text1" w:themeTint="A6"/>
        </w:rPr>
        <w:t>5</w:t>
      </w:r>
      <w:r w:rsidR="002866A9">
        <w:rPr>
          <w:color w:val="595959" w:themeColor="text1" w:themeTint="A6"/>
        </w:rPr>
        <w:t>, 2021</w:t>
      </w:r>
    </w:p>
    <w:p w14:paraId="641D3E3A" w14:textId="0F41A68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DF71E8">
        <w:rPr>
          <w:color w:val="595959" w:themeColor="text1" w:themeTint="A6"/>
        </w:rPr>
        <w:t>Jeffrey Huntress,</w:t>
      </w:r>
      <w:r w:rsidR="002866A9">
        <w:rPr>
          <w:color w:val="595959" w:themeColor="text1" w:themeTint="A6"/>
        </w:rPr>
        <w:t xml:space="preserve">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17543E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82151">
        <w:rPr>
          <w:rFonts w:cs="Arial"/>
          <w:b/>
          <w:color w:val="595959" w:themeColor="text1" w:themeTint="A6"/>
          <w:szCs w:val="20"/>
        </w:rPr>
        <w:t>February 28,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1E073CE4"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621A2F5A"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0A3BECBB" w:rsidR="008730EB" w:rsidRPr="008730EB" w:rsidRDefault="00BE3CF4"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2D0BA643" w:rsidR="0035174D" w:rsidRPr="00145C63" w:rsidRDefault="00BE3CF4"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the pathophysiology and clinical manifestations of the hypercoaguable state of COVID-19</w:t>
      </w:r>
    </w:p>
    <w:p w14:paraId="193176A5" w14:textId="2A08B59F" w:rsidR="004A294A" w:rsidRPr="00145C63" w:rsidRDefault="00BE3CF4"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Evaluate current literature surrounding the inpatient management of the hyupercoagulability of COVID-19 patients</w:t>
      </w:r>
    </w:p>
    <w:p w14:paraId="19A14A12" w14:textId="79439441" w:rsidR="004A294A" w:rsidRDefault="00BE3CF4"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Develop an appropriate anticoagulation management plan based on a patient case</w:t>
      </w:r>
    </w:p>
    <w:p w14:paraId="196C932A" w14:textId="549E1F56" w:rsidR="00BE3CF4" w:rsidRPr="00145C63" w:rsidRDefault="00BE3CF4" w:rsidP="00BE3CF4">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the role of anticoagulation for patients post hospital discharge</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7692D170"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D82151">
        <w:rPr>
          <w:rFonts w:cs="Arial"/>
          <w:color w:val="595959" w:themeColor="text1" w:themeTint="A6"/>
        </w:rPr>
        <w:t xml:space="preserve"> </w:t>
      </w:r>
      <w:r w:rsidR="00BE3CF4">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7A80FA38"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D82151">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D82151">
        <w:rPr>
          <w:rFonts w:cs="Arial"/>
          <w:color w:val="595959" w:themeColor="text1" w:themeTint="A6"/>
        </w:rPr>
        <w:t>1</w:t>
      </w:r>
      <w:r w:rsidRPr="00145C63">
        <w:rPr>
          <w:rFonts w:cs="Arial"/>
          <w:color w:val="595959" w:themeColor="text1" w:themeTint="A6"/>
        </w:rPr>
        <w:t>-0</w:t>
      </w:r>
      <w:r w:rsidR="00D82151">
        <w:rPr>
          <w:rFonts w:cs="Arial"/>
          <w:color w:val="595959" w:themeColor="text1" w:themeTint="A6"/>
        </w:rPr>
        <w:t>7</w:t>
      </w:r>
      <w:r w:rsidR="00250711">
        <w:rPr>
          <w:rFonts w:cs="Arial"/>
          <w:color w:val="595959" w:themeColor="text1" w:themeTint="A6"/>
        </w:rPr>
        <w:t>5</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6F62C2DD" w14:textId="77777777" w:rsidR="0013180C" w:rsidRPr="00145C63" w:rsidRDefault="0013180C" w:rsidP="0013180C">
      <w:pPr>
        <w:rPr>
          <w:color w:val="595959" w:themeColor="text1" w:themeTint="A6"/>
          <w:sz w:val="4"/>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2E9719B4" w14:textId="77777777" w:rsidR="00954806" w:rsidRDefault="00954806" w:rsidP="00DD68D3">
      <w:pPr>
        <w:pStyle w:val="Heading3"/>
        <w:spacing w:before="0"/>
        <w:rPr>
          <w:rFonts w:cs="Arial"/>
          <w:b w:val="0"/>
          <w:bCs w:val="0"/>
          <w:color w:val="01ADAB"/>
          <w:sz w:val="24"/>
        </w:rPr>
      </w:pPr>
    </w:p>
    <w:p w14:paraId="3A7F1BEA" w14:textId="77777777" w:rsidR="00BE3CF4" w:rsidRDefault="00BE3CF4" w:rsidP="00DD68D3">
      <w:pPr>
        <w:pStyle w:val="Heading3"/>
        <w:spacing w:before="0"/>
        <w:rPr>
          <w:rFonts w:cs="Arial"/>
          <w:b w:val="0"/>
          <w:bCs w:val="0"/>
          <w:color w:val="01ADAB"/>
          <w:sz w:val="24"/>
        </w:rPr>
      </w:pPr>
    </w:p>
    <w:p w14:paraId="01680F72" w14:textId="4B28DF7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D01B180" w:rsidR="00CB449D" w:rsidRPr="00145C63" w:rsidRDefault="00BE3CF4" w:rsidP="00DD68D3">
      <w:pPr>
        <w:rPr>
          <w:b/>
          <w:color w:val="595959" w:themeColor="text1" w:themeTint="A6"/>
        </w:rPr>
      </w:pPr>
      <w:r>
        <w:rPr>
          <w:b/>
          <w:color w:val="595959" w:themeColor="text1" w:themeTint="A6"/>
        </w:rPr>
        <w:t>Jeffrey Huntress, PharmD</w:t>
      </w:r>
    </w:p>
    <w:p w14:paraId="529DCE50" w14:textId="64CB0F7A" w:rsidR="00CB449D" w:rsidRPr="00145C63" w:rsidRDefault="00BE3CF4" w:rsidP="00DD68D3">
      <w:pPr>
        <w:rPr>
          <w:color w:val="595959" w:themeColor="text1" w:themeTint="A6"/>
        </w:rPr>
      </w:pPr>
      <w:r>
        <w:rPr>
          <w:color w:val="595959" w:themeColor="text1" w:themeTint="A6"/>
        </w:rPr>
        <w:t>Director of Pharmacy</w:t>
      </w:r>
    </w:p>
    <w:p w14:paraId="0B00B718" w14:textId="52E378C3" w:rsidR="00CB449D" w:rsidRDefault="00BE3CF4" w:rsidP="00DD68D3">
      <w:pPr>
        <w:rPr>
          <w:color w:val="595959" w:themeColor="text1" w:themeTint="A6"/>
        </w:rPr>
      </w:pPr>
      <w:r>
        <w:rPr>
          <w:color w:val="595959" w:themeColor="text1" w:themeTint="A6"/>
        </w:rPr>
        <w:t>University of Rochester Medical Center</w:t>
      </w:r>
    </w:p>
    <w:p w14:paraId="21504FC6" w14:textId="21111E79" w:rsidR="00954806" w:rsidRDefault="00954806" w:rsidP="00DD68D3">
      <w:pPr>
        <w:rPr>
          <w:color w:val="595959" w:themeColor="text1" w:themeTint="A6"/>
        </w:rPr>
      </w:pPr>
    </w:p>
    <w:p w14:paraId="04B360EE" w14:textId="75767F0B" w:rsidR="00954806" w:rsidRPr="00145C63" w:rsidRDefault="00BE3CF4" w:rsidP="00954806">
      <w:pPr>
        <w:rPr>
          <w:b/>
          <w:color w:val="595959" w:themeColor="text1" w:themeTint="A6"/>
        </w:rPr>
      </w:pPr>
      <w:r>
        <w:rPr>
          <w:b/>
          <w:color w:val="595959" w:themeColor="text1" w:themeTint="A6"/>
        </w:rPr>
        <w:t>Michelle Opipari, PharmD</w:t>
      </w:r>
    </w:p>
    <w:p w14:paraId="709A4846" w14:textId="6A21FD18" w:rsidR="00954806" w:rsidRPr="00145C63" w:rsidRDefault="00BE3CF4" w:rsidP="00954806">
      <w:pPr>
        <w:rPr>
          <w:color w:val="595959" w:themeColor="text1" w:themeTint="A6"/>
        </w:rPr>
      </w:pPr>
      <w:r>
        <w:rPr>
          <w:color w:val="595959" w:themeColor="text1" w:themeTint="A6"/>
        </w:rPr>
        <w:t>Residency Program Coordinator</w:t>
      </w:r>
    </w:p>
    <w:p w14:paraId="16628ADB" w14:textId="77777777" w:rsidR="00BE3CF4" w:rsidRDefault="00BE3CF4" w:rsidP="00BE3CF4">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DD68D3">
      <w:pPr>
        <w:rPr>
          <w:color w:val="7F7F7F" w:themeColor="text1" w:themeTint="80"/>
        </w:rPr>
      </w:pPr>
    </w:p>
    <w:p w14:paraId="30F378A1" w14:textId="7FF8D9D0"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129A0308" w14:textId="77777777" w:rsidR="00D82151" w:rsidRPr="00266041" w:rsidRDefault="00D82151" w:rsidP="00D82151">
      <w:pPr>
        <w:rPr>
          <w:rFonts w:cs="Arial"/>
          <w:b/>
          <w:color w:val="595959" w:themeColor="text1" w:themeTint="A6"/>
        </w:rPr>
      </w:pPr>
      <w:r w:rsidRPr="00266041">
        <w:rPr>
          <w:rFonts w:cs="Arial"/>
          <w:b/>
          <w:color w:val="595959" w:themeColor="text1" w:themeTint="A6"/>
          <w:szCs w:val="20"/>
        </w:rPr>
        <w:t>James Lichauer, PharmD, BCPS, FASHP</w:t>
      </w:r>
    </w:p>
    <w:p w14:paraId="3972F9DC" w14:textId="77777777" w:rsidR="00D82151" w:rsidRPr="00266041" w:rsidRDefault="00D82151" w:rsidP="00D82151">
      <w:pPr>
        <w:rPr>
          <w:rFonts w:cs="Arial"/>
          <w:color w:val="595959" w:themeColor="text1" w:themeTint="A6"/>
        </w:rPr>
      </w:pPr>
      <w:r w:rsidRPr="00266041">
        <w:rPr>
          <w:rFonts w:cs="Arial"/>
          <w:color w:val="595959" w:themeColor="text1" w:themeTint="A6"/>
        </w:rPr>
        <w:t>PI Program Director, Pharmacy</w:t>
      </w:r>
    </w:p>
    <w:p w14:paraId="0AE8505B" w14:textId="77777777" w:rsidR="00D82151" w:rsidRDefault="00D82151" w:rsidP="00D82151">
      <w:pPr>
        <w:rPr>
          <w:rFonts w:cs="Arial"/>
          <w:color w:val="595959" w:themeColor="text1" w:themeTint="A6"/>
        </w:rPr>
      </w:pPr>
      <w:r w:rsidRPr="00266041">
        <w:rPr>
          <w:rFonts w:cs="Arial"/>
          <w:color w:val="595959" w:themeColor="text1" w:themeTint="A6"/>
        </w:rPr>
        <w:t>Vizient</w:t>
      </w:r>
    </w:p>
    <w:p w14:paraId="1E3DD910" w14:textId="77777777" w:rsidR="00CB449D" w:rsidRPr="00145C63" w:rsidRDefault="00CB449D" w:rsidP="00DD68D3">
      <w:pPr>
        <w:rPr>
          <w:color w:val="595959" w:themeColor="text1" w:themeTint="A6"/>
        </w:rPr>
      </w:pPr>
    </w:p>
    <w:p w14:paraId="7E02880C" w14:textId="20E00F5D"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363D785A" w:rsidR="00CB449D" w:rsidRPr="00145C63" w:rsidRDefault="00BE3CF4" w:rsidP="00DD68D3">
      <w:pPr>
        <w:rPr>
          <w:b/>
          <w:color w:val="595959" w:themeColor="text1" w:themeTint="A6"/>
        </w:rPr>
      </w:pPr>
      <w:r>
        <w:rPr>
          <w:b/>
          <w:color w:val="595959" w:themeColor="text1" w:themeTint="A6"/>
        </w:rPr>
        <w:t>Samantha Sherry, PharmD</w:t>
      </w:r>
    </w:p>
    <w:p w14:paraId="69E43666" w14:textId="55CD4AE6" w:rsidR="00CB449D" w:rsidRPr="00145C63" w:rsidRDefault="00954806" w:rsidP="00DD68D3">
      <w:pPr>
        <w:rPr>
          <w:color w:val="595959" w:themeColor="text1" w:themeTint="A6"/>
        </w:rPr>
      </w:pPr>
      <w:r>
        <w:rPr>
          <w:color w:val="595959" w:themeColor="text1" w:themeTint="A6"/>
        </w:rPr>
        <w:t>PGY-1 Pharmacy Resident</w:t>
      </w:r>
    </w:p>
    <w:p w14:paraId="5BE7743A" w14:textId="77777777" w:rsidR="00BE3CF4" w:rsidRDefault="00BE3CF4" w:rsidP="00BE3CF4">
      <w:pPr>
        <w:rPr>
          <w:color w:val="595959" w:themeColor="text1" w:themeTint="A6"/>
        </w:rPr>
      </w:pPr>
      <w:r>
        <w:rPr>
          <w:color w:val="595959" w:themeColor="text1" w:themeTint="A6"/>
        </w:rPr>
        <w:t>University of Rochester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0711"/>
    <w:rsid w:val="00273E1B"/>
    <w:rsid w:val="002866A9"/>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60BB"/>
    <w:rsid w:val="006A6544"/>
    <w:rsid w:val="006B43B7"/>
    <w:rsid w:val="006B6BF5"/>
    <w:rsid w:val="006B7975"/>
    <w:rsid w:val="006C2361"/>
    <w:rsid w:val="006E3F56"/>
    <w:rsid w:val="006F020F"/>
    <w:rsid w:val="006F1E6D"/>
    <w:rsid w:val="007004E5"/>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54806"/>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405"/>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3CF4"/>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2151"/>
    <w:rsid w:val="00D97E07"/>
    <w:rsid w:val="00DA6BD0"/>
    <w:rsid w:val="00DB507E"/>
    <w:rsid w:val="00DC09A4"/>
    <w:rsid w:val="00DD68D3"/>
    <w:rsid w:val="00DE18AA"/>
    <w:rsid w:val="00DE3426"/>
    <w:rsid w:val="00DF65D5"/>
    <w:rsid w:val="00DF71E8"/>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AC7405"/>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SourceDataModel Name="Computed" TargetDataSourceId="87651697-ca1f-4d80-9f69-bb743e325714"/>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Definition name="AD_HOC" displayName="AD_HOC" id="9426ea6f-1b24-4683-bca3-85d71f6375fd" isdomainofvalue="False" dataSourceId="80be7e5f-6e71-448c-9228-23264555308c"/>
</file>

<file path=customXml/item2.xml><?xml version="1.0" encoding="utf-8"?>
<VariableUsageMapping/>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SourceDataModel Name="AD_HOC" TargetDataSourceId="80be7e5f-6e71-448c-9228-23264555308c"/>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SourceDataModel Name="System" TargetDataSourceId="00b80028-d226-4a39-9a19-6787589aad19"/>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AllExternalAdhocVariableMappings/>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ocPartTree/>
</file>

<file path=customXml/item8.xml><?xml version="1.0" encoding="utf-8"?>
<AllMetadata/>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2020-12-17T22:31:00Z</dcterms:created>
  <dcterms:modified xsi:type="dcterms:W3CDTF">2020-12-18T16:10:00Z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