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5F1E60F" w:rsidR="00ED6AE4" w:rsidRPr="008B1CED" w:rsidRDefault="002E0E87" w:rsidP="00ED6AE4">
      <w:pPr>
        <w:pStyle w:val="Heading"/>
      </w:pPr>
      <w:r>
        <w:t>Direct-Acting Oral Anticoagulants in Heparin-Induced Thrombocytopenia</w:t>
      </w:r>
    </w:p>
    <w:p w14:paraId="0D0DC3CD" w14:textId="02FC982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03EC6">
        <w:rPr>
          <w:color w:val="595959" w:themeColor="text1" w:themeTint="A6"/>
        </w:rPr>
        <w:t>April 12</w:t>
      </w:r>
      <w:r w:rsidR="002E0E87">
        <w:rPr>
          <w:color w:val="595959" w:themeColor="text1" w:themeTint="A6"/>
        </w:rPr>
        <w:t>, 2021</w:t>
      </w:r>
    </w:p>
    <w:p w14:paraId="641D3E3A" w14:textId="0995074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E0E87">
        <w:rPr>
          <w:color w:val="595959" w:themeColor="text1" w:themeTint="A6"/>
        </w:rPr>
        <w:t>Anastasiya Malanchuk,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2559D9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6F1366">
        <w:rPr>
          <w:rFonts w:cs="Arial"/>
          <w:b/>
          <w:color w:val="595959" w:themeColor="text1" w:themeTint="A6"/>
          <w:szCs w:val="20"/>
        </w:rPr>
        <w:t>Ma</w:t>
      </w:r>
      <w:r w:rsidR="00003EC6">
        <w:rPr>
          <w:rFonts w:cs="Arial"/>
          <w:b/>
          <w:color w:val="595959" w:themeColor="text1" w:themeTint="A6"/>
          <w:szCs w:val="20"/>
        </w:rPr>
        <w:t>y</w:t>
      </w:r>
      <w:r w:rsidR="006F1366">
        <w:rPr>
          <w:rFonts w:cs="Arial"/>
          <w:b/>
          <w:color w:val="595959" w:themeColor="text1" w:themeTint="A6"/>
          <w:szCs w:val="20"/>
        </w:rPr>
        <w:t xml:space="preserve"> 2</w:t>
      </w:r>
      <w:r w:rsidR="00003EC6">
        <w:rPr>
          <w:rFonts w:cs="Arial"/>
          <w:b/>
          <w:color w:val="595959" w:themeColor="text1" w:themeTint="A6"/>
          <w:szCs w:val="20"/>
        </w:rPr>
        <w:t>6</w:t>
      </w:r>
      <w:r w:rsidR="006F1366">
        <w:rPr>
          <w:rFonts w:cs="Arial"/>
          <w:b/>
          <w:color w:val="595959" w:themeColor="text1" w:themeTint="A6"/>
          <w:szCs w:val="20"/>
        </w:rPr>
        <w:t>,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B62472A" w:rsidR="008730EB" w:rsidRPr="008730EB" w:rsidRDefault="006F1366"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781292AE" w:rsidR="0035174D" w:rsidRPr="00145C63" w:rsidRDefault="006F1366"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epidemiology, pathophysiology and clinical features of heparin-induced thrombocytopenia (HIT)</w:t>
      </w:r>
    </w:p>
    <w:p w14:paraId="193176A5" w14:textId="59145F6B" w:rsidR="004A294A" w:rsidRPr="00145C63" w:rsidRDefault="006F1366"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Compare guideline recommendations for the treatment of HIT from the American College of Chest Physicians and the American Society of Hematology</w:t>
      </w:r>
    </w:p>
    <w:p w14:paraId="19A14A12" w14:textId="1C224980" w:rsidR="004A294A" w:rsidRPr="00145C63" w:rsidRDefault="006F136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Summarize the current gold standard for treatment of HIT including mechanism of action, dosing and monitoring parameters for agents</w:t>
      </w:r>
    </w:p>
    <w:p w14:paraId="5BA35BDF" w14:textId="512ED146" w:rsidR="0013180C" w:rsidRDefault="006F1366" w:rsidP="0013180C">
      <w:pPr>
        <w:pStyle w:val="ListParagraph"/>
        <w:numPr>
          <w:ilvl w:val="0"/>
          <w:numId w:val="40"/>
        </w:numPr>
        <w:ind w:left="360"/>
        <w:rPr>
          <w:color w:val="595959" w:themeColor="text1" w:themeTint="A6"/>
        </w:rPr>
      </w:pPr>
      <w:r>
        <w:rPr>
          <w:color w:val="595959" w:themeColor="text1" w:themeTint="A6"/>
        </w:rPr>
        <w:t>Identify commonly used anticoagulants</w:t>
      </w:r>
    </w:p>
    <w:p w14:paraId="0C1F4219" w14:textId="4CC8E078" w:rsidR="006F1366" w:rsidRPr="006F1366" w:rsidRDefault="006F1366" w:rsidP="006F1366">
      <w:pPr>
        <w:pStyle w:val="ListParagraph"/>
        <w:numPr>
          <w:ilvl w:val="0"/>
          <w:numId w:val="40"/>
        </w:numPr>
        <w:ind w:left="360"/>
        <w:rPr>
          <w:color w:val="595959" w:themeColor="text1" w:themeTint="A6"/>
        </w:rPr>
      </w:pPr>
      <w:r w:rsidRPr="006F1366">
        <w:rPr>
          <w:color w:val="595959" w:themeColor="text1" w:themeTint="A6"/>
        </w:rPr>
        <w:t>Review FDA approved indications, mechanism of action and safety profile of direct-acting oral anticoagulants (DOACs)</w:t>
      </w:r>
    </w:p>
    <w:p w14:paraId="51583A3A" w14:textId="44D6B583" w:rsidR="006F1366" w:rsidRPr="006F1366" w:rsidRDefault="006F1366" w:rsidP="006F1366">
      <w:pPr>
        <w:pStyle w:val="ListParagraph"/>
        <w:numPr>
          <w:ilvl w:val="0"/>
          <w:numId w:val="40"/>
        </w:numPr>
        <w:ind w:left="360"/>
        <w:rPr>
          <w:color w:val="595959" w:themeColor="text1" w:themeTint="A6"/>
        </w:rPr>
      </w:pPr>
      <w:r w:rsidRPr="006F1366">
        <w:rPr>
          <w:color w:val="595959" w:themeColor="text1" w:themeTint="A6"/>
        </w:rPr>
        <w:t>Evaluate primary literature for the efficacy and safety of using DOACs in HIT</w:t>
      </w:r>
    </w:p>
    <w:p w14:paraId="250850DB" w14:textId="77777777" w:rsidR="001449C2" w:rsidRPr="008730EB" w:rsidRDefault="001449C2" w:rsidP="001449C2">
      <w:pPr>
        <w:spacing w:after="120"/>
        <w:rPr>
          <w:rFonts w:cs="Arial"/>
          <w:b/>
          <w:color w:val="01ADAB"/>
          <w:sz w:val="24"/>
        </w:rPr>
      </w:pPr>
      <w:r>
        <w:rPr>
          <w:rFonts w:cs="Arial"/>
          <w:b/>
          <w:color w:val="01ADAB"/>
          <w:sz w:val="24"/>
        </w:rPr>
        <w:lastRenderedPageBreak/>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AAD80F8" w14:textId="7D399011" w:rsidR="006F1366" w:rsidRPr="006F1366" w:rsidRDefault="006F1366" w:rsidP="006F1366">
      <w:pPr>
        <w:pStyle w:val="ListParagraph"/>
        <w:numPr>
          <w:ilvl w:val="0"/>
          <w:numId w:val="44"/>
        </w:numPr>
        <w:ind w:left="270" w:hanging="270"/>
        <w:rPr>
          <w:color w:val="595959" w:themeColor="text1" w:themeTint="A6"/>
        </w:rPr>
      </w:pPr>
      <w:r w:rsidRPr="006F1366">
        <w:rPr>
          <w:color w:val="595959" w:themeColor="text1" w:themeTint="A6"/>
        </w:rPr>
        <w:t>Identify commonly used anticoagulants</w:t>
      </w:r>
    </w:p>
    <w:p w14:paraId="2458E48C" w14:textId="77777777" w:rsidR="006F1366" w:rsidRPr="006F1366" w:rsidRDefault="006F1366" w:rsidP="006F1366"/>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517315A5"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6F1366">
        <w:rPr>
          <w:rFonts w:cs="Arial"/>
          <w:color w:val="595959" w:themeColor="text1" w:themeTint="A6"/>
        </w:rPr>
        <w:t xml:space="preserve"> 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4A33D0AE"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F136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B41576">
        <w:rPr>
          <w:rFonts w:cs="Arial"/>
          <w:color w:val="595959" w:themeColor="text1" w:themeTint="A6"/>
        </w:rPr>
        <w:t>81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7B36B6D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6F1366">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B41576">
        <w:rPr>
          <w:rFonts w:cs="Arial"/>
          <w:color w:val="595959" w:themeColor="text1" w:themeTint="A6"/>
        </w:rPr>
        <w:t>81</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48130F62" w14:textId="77777777" w:rsidR="006313AC"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51E2B5DF" w14:textId="761B1224" w:rsidR="00CB449D" w:rsidRPr="00D3796A" w:rsidRDefault="006313AC" w:rsidP="00CB449D">
      <w:pPr>
        <w:spacing w:before="120"/>
        <w:rPr>
          <w:rFonts w:cs="Arial"/>
          <w:bCs/>
          <w:color w:val="595959" w:themeColor="text1" w:themeTint="A6"/>
          <w:szCs w:val="20"/>
        </w:rPr>
      </w:pPr>
      <w:r>
        <w:rPr>
          <w:rFonts w:cs="Arial"/>
          <w:bCs/>
          <w:color w:val="595959" w:themeColor="text1" w:themeTint="A6"/>
          <w:szCs w:val="20"/>
        </w:rPr>
        <w:t>The presenter will discuss off-label use of drugs</w:t>
      </w:r>
      <w:r w:rsidR="00CB449D"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79DD2491" w:rsidR="00CB449D" w:rsidRPr="00145C63" w:rsidRDefault="00730EAE" w:rsidP="00DD68D3">
      <w:pPr>
        <w:rPr>
          <w:b/>
          <w:color w:val="595959" w:themeColor="text1" w:themeTint="A6"/>
        </w:rPr>
      </w:pPr>
      <w:r>
        <w:rPr>
          <w:b/>
          <w:color w:val="595959" w:themeColor="text1" w:themeTint="A6"/>
        </w:rPr>
        <w:t>Kaitlyn Harper, PharmD</w:t>
      </w:r>
    </w:p>
    <w:p w14:paraId="529DCE50" w14:textId="347DF08A" w:rsidR="00CB449D" w:rsidRPr="00145C63" w:rsidRDefault="00730EAE" w:rsidP="00DD68D3">
      <w:pPr>
        <w:rPr>
          <w:color w:val="595959" w:themeColor="text1" w:themeTint="A6"/>
        </w:rPr>
      </w:pPr>
      <w:r>
        <w:rPr>
          <w:color w:val="595959" w:themeColor="text1" w:themeTint="A6"/>
        </w:rPr>
        <w:t>Clinical Pharmacist</w:t>
      </w:r>
    </w:p>
    <w:p w14:paraId="0B00B718" w14:textId="1B0B771F" w:rsidR="00CB449D" w:rsidRPr="00145C63" w:rsidRDefault="00730EAE"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3AB264FD" w:rsidR="00CB449D" w:rsidRPr="00145C63" w:rsidRDefault="00730EAE" w:rsidP="00DD68D3">
      <w:pPr>
        <w:rPr>
          <w:b/>
          <w:color w:val="595959" w:themeColor="text1" w:themeTint="A6"/>
        </w:rPr>
      </w:pPr>
      <w:r>
        <w:rPr>
          <w:b/>
          <w:color w:val="595959" w:themeColor="text1" w:themeTint="A6"/>
        </w:rPr>
        <w:t>Anastasiya Malanchuk, PharmD</w:t>
      </w:r>
    </w:p>
    <w:p w14:paraId="2B34AFB1" w14:textId="291482DD" w:rsidR="00CB449D" w:rsidRPr="00145C63" w:rsidRDefault="00730EAE" w:rsidP="00DD68D3">
      <w:pPr>
        <w:rPr>
          <w:color w:val="595959" w:themeColor="text1" w:themeTint="A6"/>
        </w:rPr>
      </w:pPr>
      <w:r>
        <w:rPr>
          <w:color w:val="595959" w:themeColor="text1" w:themeTint="A6"/>
        </w:rPr>
        <w:t>PGY-1 Pharmacy Resident</w:t>
      </w:r>
    </w:p>
    <w:p w14:paraId="2C4A999B" w14:textId="77777777" w:rsidR="00730EAE" w:rsidRPr="00145C63" w:rsidRDefault="00730EAE" w:rsidP="00730EAE">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44F3A08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1F945034" w14:textId="77777777" w:rsidR="00A813B2" w:rsidRPr="00A05A90" w:rsidRDefault="00A813B2" w:rsidP="00A813B2">
      <w:pPr>
        <w:rPr>
          <w:rFonts w:ascii="Courier New" w:hAnsi="Courier New" w:cs="Courier New"/>
          <w:b/>
          <w:bCs/>
          <w:color w:val="595959" w:themeColor="text1" w:themeTint="A6"/>
          <w:szCs w:val="20"/>
        </w:rPr>
      </w:pPr>
      <w:r w:rsidRPr="00A05A90">
        <w:rPr>
          <w:rFonts w:cs="Arial"/>
          <w:b/>
          <w:bCs/>
          <w:color w:val="595959" w:themeColor="text1" w:themeTint="A6"/>
          <w:szCs w:val="20"/>
        </w:rPr>
        <w:t xml:space="preserve">Katrina K. Harper, PharmD, MBA, BCPS, BCSCP </w:t>
      </w:r>
    </w:p>
    <w:p w14:paraId="17D5AC57" w14:textId="77777777" w:rsidR="00A813B2" w:rsidRDefault="00A813B2" w:rsidP="00A813B2">
      <w:pPr>
        <w:rPr>
          <w:rFonts w:cs="Arial"/>
          <w:color w:val="696969"/>
          <w:szCs w:val="20"/>
        </w:rPr>
      </w:pPr>
      <w:r>
        <w:rPr>
          <w:rFonts w:cs="Arial"/>
          <w:color w:val="696969"/>
          <w:szCs w:val="20"/>
        </w:rPr>
        <w:t xml:space="preserve">Clinical Pharmacy Director, Sourcing Operations </w:t>
      </w:r>
    </w:p>
    <w:p w14:paraId="7B414A16" w14:textId="2808BEE9" w:rsidR="00A813B2" w:rsidRDefault="00A813B2" w:rsidP="00A813B2">
      <w:pPr>
        <w:rPr>
          <w:rFonts w:cs="Arial"/>
          <w:color w:val="696969"/>
          <w:szCs w:val="20"/>
        </w:rPr>
      </w:pPr>
      <w:r>
        <w:rPr>
          <w:rFonts w:cs="Arial"/>
          <w:color w:val="696969"/>
          <w:szCs w:val="20"/>
        </w:rPr>
        <w:t>Center for Pharmacy Practice Excellence</w:t>
      </w:r>
    </w:p>
    <w:p w14:paraId="7290BE7E" w14:textId="78BA8120" w:rsidR="00A813B2" w:rsidRDefault="00A813B2" w:rsidP="00A813B2">
      <w:pPr>
        <w:rPr>
          <w:rFonts w:cs="Arial"/>
          <w:color w:val="696969"/>
          <w:szCs w:val="20"/>
        </w:rPr>
      </w:pPr>
      <w:r>
        <w:rPr>
          <w:rFonts w:cs="Arial"/>
          <w:color w:val="696969"/>
          <w:szCs w:val="20"/>
        </w:rPr>
        <w:t>Vizient, Inc.</w:t>
      </w:r>
    </w:p>
    <w:p w14:paraId="21C46B0A" w14:textId="77777777" w:rsidR="00CB449D" w:rsidRPr="00145C63" w:rsidRDefault="00CB449D" w:rsidP="00DD68D3">
      <w:pPr>
        <w:rPr>
          <w:color w:val="595959" w:themeColor="text1" w:themeTint="A6"/>
        </w:rPr>
      </w:pPr>
    </w:p>
    <w:p w14:paraId="7E02880C" w14:textId="51625759"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B0B66F2" w14:textId="77777777" w:rsidR="00730EAE" w:rsidRPr="00145C63" w:rsidRDefault="00730EAE" w:rsidP="00730EAE">
      <w:pPr>
        <w:rPr>
          <w:b/>
          <w:color w:val="595959" w:themeColor="text1" w:themeTint="A6"/>
        </w:rPr>
      </w:pPr>
      <w:r>
        <w:rPr>
          <w:b/>
          <w:color w:val="595959" w:themeColor="text1" w:themeTint="A6"/>
        </w:rPr>
        <w:t>Anastasiya Malanchuk, PharmD</w:t>
      </w:r>
    </w:p>
    <w:p w14:paraId="3F791B32" w14:textId="77777777" w:rsidR="00730EAE" w:rsidRPr="00145C63" w:rsidRDefault="00730EAE" w:rsidP="00730EAE">
      <w:pPr>
        <w:rPr>
          <w:color w:val="595959" w:themeColor="text1" w:themeTint="A6"/>
        </w:rPr>
      </w:pPr>
      <w:r>
        <w:rPr>
          <w:color w:val="595959" w:themeColor="text1" w:themeTint="A6"/>
        </w:rPr>
        <w:t>PGY-1 Pharmacy Resident</w:t>
      </w:r>
    </w:p>
    <w:p w14:paraId="2415195E" w14:textId="77777777" w:rsidR="00730EAE" w:rsidRPr="00145C63" w:rsidRDefault="00730EAE" w:rsidP="00730EAE">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C6"/>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0E87"/>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13AC"/>
    <w:rsid w:val="00636E51"/>
    <w:rsid w:val="00642B45"/>
    <w:rsid w:val="00654283"/>
    <w:rsid w:val="006775CF"/>
    <w:rsid w:val="006A6544"/>
    <w:rsid w:val="006B43B7"/>
    <w:rsid w:val="006B6BF5"/>
    <w:rsid w:val="006B7975"/>
    <w:rsid w:val="006C2361"/>
    <w:rsid w:val="006E3F56"/>
    <w:rsid w:val="006F020F"/>
    <w:rsid w:val="006F1366"/>
    <w:rsid w:val="006F1E6D"/>
    <w:rsid w:val="00707853"/>
    <w:rsid w:val="00714301"/>
    <w:rsid w:val="00715300"/>
    <w:rsid w:val="007158FC"/>
    <w:rsid w:val="00723601"/>
    <w:rsid w:val="00730EAE"/>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13B2"/>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1576"/>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VariableListDefinition name="Computed" displayName="Computed" id="69155e26-4760-488b-ab4c-bb15b0f8b2a2" isdomainofvalue="False" dataSourceId="87651697-ca1f-4d80-9f69-bb743e325714"/>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AllMetadata/>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AllExternalAdhocVariableMappings/>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Definition name="System" displayName="System" id="dc9731b4-d0d2-4ed5-b20d-434d69de1706" isdomainofvalue="False" dataSourceId="00b80028-d226-4a39-9a19-6787589aad19"/>
</file>

<file path=customXml/item21.xml><?xml version="1.0" encoding="utf-8"?>
<VariableUsageMapping/>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AllWordPDs>
</AllWordPDs>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DocPartTree/>
</file>

<file path=customXml/item5.xml><?xml version="1.0" encoding="utf-8"?>
<VariableListDefinition name="AD_HOC" displayName="AD_HOC" id="9426ea6f-1b24-4683-bca3-85d71f6375fd" isdomainofvalue="False" dataSourceId="80be7e5f-6e71-448c-9228-23264555308c"/>
</file>

<file path=customXml/item6.xml><?xml version="1.0" encoding="utf-8"?>
<SourceDataModel Name="Computed" TargetDataSourceId="87651697-ca1f-4d80-9f69-bb743e325714"/>
</file>

<file path=customXml/item7.xml><?xml version="1.0" encoding="utf-8"?>
<SourceDataModel Name="System" TargetDataSourceId="00b80028-d226-4a39-9a19-6787589aad19"/>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E0C162D0-F7BA-4089-AC31-880761F0BD65}">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2021-01-06T16:27:00Z</dcterms:created>
  <dcterms:modified xsi:type="dcterms:W3CDTF">2021-04-06T14:28:00Z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