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6B66BF" w:rsidP="00D6051F">
      <w:pPr>
        <w:pStyle w:val="Heading"/>
      </w:pPr>
      <w:r>
        <w:t>CDC Update 2019: Antibiotic Stewardship in U.S. Hospitals</w:t>
      </w:r>
    </w:p>
    <w:p w:rsidR="00423054" w:rsidRDefault="00155E54" w:rsidP="004A294A">
      <w:pPr>
        <w:pStyle w:val="BodyText1"/>
      </w:pPr>
      <w:r>
        <w:t>Activity date</w:t>
      </w:r>
      <w:r w:rsidR="0013180C">
        <w:t xml:space="preserve">: </w:t>
      </w:r>
      <w:r w:rsidR="006B66BF">
        <w:t>November 18</w:t>
      </w:r>
      <w:r w:rsidR="00E875B7">
        <w:t>, 2019</w:t>
      </w:r>
    </w:p>
    <w:p w:rsidR="00EA13B8" w:rsidRDefault="0013180C" w:rsidP="00423054">
      <w:pPr>
        <w:pStyle w:val="BodyText1"/>
      </w:pPr>
      <w:r>
        <w:t xml:space="preserve">Course director: </w:t>
      </w:r>
      <w:r w:rsidR="003C096A">
        <w:t xml:space="preserve">Katrina Harper, </w:t>
      </w:r>
      <w:proofErr w:type="spellStart"/>
      <w:r w:rsidR="003C096A">
        <w:t>PharmD</w:t>
      </w:r>
      <w:proofErr w:type="spellEnd"/>
      <w:r w:rsidR="003C096A">
        <w:t>, MBA, BCPS, DPLA</w:t>
      </w:r>
    </w:p>
    <w:p w:rsidR="008730EB" w:rsidRPr="008730EB" w:rsidRDefault="008730EB" w:rsidP="008F1D8E">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F1D8E" w:rsidRDefault="008F1D8E" w:rsidP="008F1D8E">
      <w:pPr>
        <w:spacing w:line="276" w:lineRule="auto"/>
        <w:rPr>
          <w:rFonts w:cs="Arial"/>
          <w:b/>
          <w:bCs/>
          <w:color w:val="01ADAB"/>
          <w:sz w:val="24"/>
          <w:szCs w:val="20"/>
        </w:rPr>
      </w:pPr>
    </w:p>
    <w:p w:rsidR="008730EB" w:rsidRPr="008730EB" w:rsidRDefault="008A32F5" w:rsidP="008F1D8E">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4A3860">
        <w:rPr>
          <w:rFonts w:cs="Arial"/>
          <w:b/>
          <w:color w:val="696969"/>
          <w:szCs w:val="20"/>
        </w:rPr>
        <w:t>January 1,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C071F3" w:rsidRPr="00C071F3" w:rsidRDefault="004A3860" w:rsidP="00C071F3">
      <w:pPr>
        <w:pStyle w:val="ListParagraph"/>
        <w:numPr>
          <w:ilvl w:val="0"/>
          <w:numId w:val="6"/>
        </w:numPr>
        <w:ind w:left="360"/>
        <w:rPr>
          <w:rFonts w:ascii="Calibri" w:hAnsi="Calibri"/>
          <w:color w:val="595959" w:themeColor="text1" w:themeTint="A6"/>
        </w:rPr>
      </w:pPr>
      <w:r>
        <w:rPr>
          <w:rFonts w:cs="Arial"/>
          <w:color w:val="595959" w:themeColor="text1" w:themeTint="A6"/>
          <w:szCs w:val="20"/>
        </w:rPr>
        <w:t>Describe the CDC’s Core Elements of Hospital Antibiotic Stewardship Programs</w:t>
      </w:r>
      <w:r w:rsidR="00C071F3" w:rsidRPr="00C071F3">
        <w:rPr>
          <w:color w:val="595959" w:themeColor="text1" w:themeTint="A6"/>
        </w:rPr>
        <w:t xml:space="preserve"> </w:t>
      </w:r>
    </w:p>
    <w:p w:rsidR="00C071F3" w:rsidRPr="00C071F3" w:rsidRDefault="004A3860" w:rsidP="00C071F3">
      <w:pPr>
        <w:pStyle w:val="ListParagraph"/>
        <w:numPr>
          <w:ilvl w:val="0"/>
          <w:numId w:val="6"/>
        </w:numPr>
        <w:ind w:left="360"/>
        <w:rPr>
          <w:rFonts w:cs="Arial"/>
          <w:color w:val="595959" w:themeColor="text1" w:themeTint="A6"/>
          <w:szCs w:val="20"/>
        </w:rPr>
      </w:pPr>
      <w:r>
        <w:rPr>
          <w:rFonts w:cs="Arial"/>
          <w:color w:val="595959" w:themeColor="text1" w:themeTint="A6"/>
          <w:szCs w:val="20"/>
        </w:rPr>
        <w:t>List key focus areas for hospital stewardship programs</w:t>
      </w:r>
    </w:p>
    <w:p w:rsidR="00C071F3" w:rsidRPr="00C071F3" w:rsidRDefault="004A3860" w:rsidP="00C071F3">
      <w:pPr>
        <w:pStyle w:val="ListParagraph"/>
        <w:numPr>
          <w:ilvl w:val="0"/>
          <w:numId w:val="6"/>
        </w:numPr>
        <w:ind w:left="360"/>
        <w:rPr>
          <w:color w:val="595959" w:themeColor="text1" w:themeTint="A6"/>
        </w:rPr>
      </w:pPr>
      <w:r>
        <w:rPr>
          <w:rFonts w:eastAsiaTheme="majorEastAsia" w:cs="Arial"/>
          <w:color w:val="595959" w:themeColor="text1" w:themeTint="A6"/>
          <w:szCs w:val="20"/>
          <w:lang w:bidi="en-US"/>
        </w:rPr>
        <w:t>Explain the use of the standardized antimicrobial administration ratio (SAAR) as a tool to guide stewardship efforts</w:t>
      </w:r>
    </w:p>
    <w:p w:rsidR="00EF048C" w:rsidRDefault="008C28EE" w:rsidP="00EF048C">
      <w:pPr>
        <w:spacing w:after="120"/>
        <w:rPr>
          <w:rFonts w:cs="Arial"/>
          <w:b/>
          <w:color w:val="01ADAB"/>
          <w:sz w:val="24"/>
        </w:rPr>
      </w:pPr>
      <w:r>
        <w:rPr>
          <w:rFonts w:cs="Arial"/>
          <w:b/>
          <w:color w:val="01ADAB"/>
          <w:sz w:val="24"/>
        </w:rPr>
        <w:t>Pharmacy technician l</w:t>
      </w:r>
      <w:r w:rsidR="004A3860">
        <w:rPr>
          <w:rFonts w:cs="Arial"/>
          <w:b/>
          <w:color w:val="01ADAB"/>
          <w:sz w:val="24"/>
        </w:rPr>
        <w:t>earning objective</w:t>
      </w:r>
      <w:r w:rsidR="00887C6C">
        <w:rPr>
          <w:rFonts w:cs="Arial"/>
          <w:b/>
          <w:color w:val="01ADAB"/>
          <w:sz w:val="24"/>
        </w:rPr>
        <w:t>s</w:t>
      </w:r>
      <w:bookmarkStart w:id="0" w:name="_GoBack"/>
      <w:bookmarkEnd w:id="0"/>
    </w:p>
    <w:p w:rsidR="004A3860" w:rsidRPr="00C071F3" w:rsidRDefault="004A3860" w:rsidP="004A3860">
      <w:pPr>
        <w:pStyle w:val="ListParagraph"/>
        <w:numPr>
          <w:ilvl w:val="0"/>
          <w:numId w:val="7"/>
        </w:numPr>
        <w:ind w:left="360"/>
        <w:rPr>
          <w:rFonts w:ascii="Calibri" w:hAnsi="Calibri"/>
          <w:color w:val="595959" w:themeColor="text1" w:themeTint="A6"/>
        </w:rPr>
      </w:pPr>
      <w:r>
        <w:rPr>
          <w:rFonts w:cs="Arial"/>
          <w:color w:val="595959" w:themeColor="text1" w:themeTint="A6"/>
          <w:szCs w:val="20"/>
        </w:rPr>
        <w:t>Describe the CDC’s Core Elements of Hospital Antibiotic Stewardship Programs</w:t>
      </w:r>
      <w:r w:rsidRPr="00C071F3">
        <w:rPr>
          <w:color w:val="595959" w:themeColor="text1" w:themeTint="A6"/>
        </w:rPr>
        <w:t xml:space="preserve"> </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Vizient, Inc. designates this activity for a maximum of 1.</w:t>
      </w:r>
      <w:r w:rsidR="00BC6C65">
        <w:rPr>
          <w:rFonts w:cs="Arial"/>
          <w:color w:val="696969"/>
        </w:rPr>
        <w:t>0</w:t>
      </w:r>
      <w:r w:rsidR="00A71502">
        <w:rPr>
          <w:rFonts w:cs="Arial"/>
          <w:color w:val="696969"/>
        </w:rPr>
        <w:t>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w:t>
      </w:r>
      <w:r w:rsidR="000A5DD0">
        <w:rPr>
          <w:rFonts w:cs="Arial"/>
          <w:color w:val="696969"/>
        </w:rPr>
        <w:t>2</w:t>
      </w:r>
      <w:r w:rsidR="008F1D8E">
        <w:rPr>
          <w:rFonts w:cs="Arial"/>
          <w:color w:val="696969"/>
        </w:rPr>
        <w:t>3</w:t>
      </w:r>
      <w:r>
        <w:rPr>
          <w:rFonts w:cs="Arial"/>
          <w:color w:val="696969"/>
        </w:rPr>
        <w:t>-L0</w:t>
      </w:r>
      <w:r w:rsidR="000A5DD0">
        <w:rPr>
          <w:rFonts w:cs="Arial"/>
          <w:color w:val="696969"/>
        </w:rPr>
        <w:t>1</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w:t>
      </w:r>
      <w:r w:rsidR="008F1D8E">
        <w:rPr>
          <w:rFonts w:cs="Arial"/>
          <w:color w:val="696969"/>
        </w:rPr>
        <w:t>23</w:t>
      </w:r>
      <w:r>
        <w:rPr>
          <w:rFonts w:cs="Arial"/>
          <w:color w:val="696969"/>
        </w:rPr>
        <w:t>-L0</w:t>
      </w:r>
      <w:r w:rsidR="000A5DD0">
        <w:rPr>
          <w:rFonts w:cs="Arial"/>
          <w:color w:val="696969"/>
        </w:rPr>
        <w:t>1</w:t>
      </w:r>
      <w:r>
        <w:rPr>
          <w:rFonts w:cs="Arial"/>
          <w:color w:val="696969"/>
        </w:rPr>
        <w:t>-T</w:t>
      </w:r>
    </w:p>
    <w:p w:rsidR="00A71502" w:rsidRDefault="00A71502" w:rsidP="00B12607">
      <w:pPr>
        <w:pStyle w:val="Heading4"/>
        <w:shd w:val="clear" w:color="auto" w:fill="FFFFFF"/>
        <w:rPr>
          <w:rFonts w:cs="Arial"/>
          <w:color w:val="696969" w:themeColor="accent6"/>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333E8C" w:rsidRDefault="00333E8C" w:rsidP="004B0F88">
      <w:pPr>
        <w:spacing w:before="120"/>
        <w:rPr>
          <w:rFonts w:cs="Arial"/>
          <w:bCs/>
          <w:color w:val="696969"/>
          <w:szCs w:val="20"/>
        </w:rPr>
      </w:pPr>
    </w:p>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C071F3">
        <w:rPr>
          <w:rFonts w:cs="Arial"/>
          <w:bCs/>
          <w:color w:val="696969"/>
          <w:szCs w:val="20"/>
        </w:rPr>
        <w:t>None of the planning committee members or speakers has anything to disclose</w:t>
      </w:r>
    </w:p>
    <w:p w:rsidR="008730EB" w:rsidRDefault="008730EB" w:rsidP="008730EB">
      <w:pPr>
        <w:pStyle w:val="Heading3"/>
        <w:spacing w:before="240" w:after="120"/>
        <w:rPr>
          <w:rFonts w:cs="Arial"/>
          <w:color w:val="01ADAB"/>
          <w:sz w:val="24"/>
        </w:rPr>
      </w:pPr>
      <w:r w:rsidRPr="008730EB">
        <w:rPr>
          <w:rFonts w:cs="Arial"/>
          <w:color w:val="01ADAB"/>
          <w:sz w:val="24"/>
        </w:rPr>
        <w:lastRenderedPageBreak/>
        <w:t>Planning committee members</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0A5DD0" w:rsidP="00A71502">
      <w:pPr>
        <w:rPr>
          <w:rFonts w:cs="Arial"/>
          <w:bCs/>
          <w:color w:val="696969"/>
          <w:szCs w:val="20"/>
        </w:rPr>
      </w:pPr>
      <w:r>
        <w:rPr>
          <w:rFonts w:cs="Arial"/>
          <w:bCs/>
          <w:color w:val="696969"/>
          <w:szCs w:val="20"/>
        </w:rPr>
        <w:t>Pharmacy Clinical Manager</w:t>
      </w:r>
    </w:p>
    <w:p w:rsidR="00A71502" w:rsidRDefault="00A71502" w:rsidP="00A71502">
      <w:pPr>
        <w:rPr>
          <w:rFonts w:cs="Arial"/>
          <w:bCs/>
          <w:color w:val="696969"/>
          <w:szCs w:val="20"/>
        </w:rPr>
      </w:pPr>
      <w:r>
        <w:rPr>
          <w:rFonts w:cs="Arial"/>
          <w:bCs/>
          <w:color w:val="696969"/>
          <w:szCs w:val="20"/>
        </w:rPr>
        <w:t>Vizient</w:t>
      </w:r>
    </w:p>
    <w:p w:rsidR="00A71502" w:rsidRDefault="00A71502" w:rsidP="00A71502">
      <w:pPr>
        <w:rPr>
          <w:rFonts w:cs="Arial"/>
          <w:bCs/>
          <w:color w:val="696969"/>
          <w:szCs w:val="20"/>
        </w:rPr>
      </w:pPr>
    </w:p>
    <w:p w:rsidR="00A71502" w:rsidRDefault="00A71502" w:rsidP="00A71502">
      <w:pPr>
        <w:rPr>
          <w:rFonts w:cs="Arial"/>
          <w:b/>
          <w:bCs/>
          <w:color w:val="696969"/>
          <w:szCs w:val="20"/>
        </w:rPr>
      </w:pPr>
      <w:r>
        <w:rPr>
          <w:rFonts w:cs="Arial"/>
          <w:b/>
          <w:bCs/>
          <w:color w:val="696969"/>
          <w:szCs w:val="20"/>
        </w:rPr>
        <w:t>Jackie Stokes, BA</w:t>
      </w:r>
    </w:p>
    <w:p w:rsidR="00A71502" w:rsidRPr="00004C40" w:rsidRDefault="00A71502" w:rsidP="00A71502">
      <w:pPr>
        <w:rPr>
          <w:rFonts w:cs="Arial"/>
          <w:bCs/>
          <w:color w:val="696969"/>
          <w:szCs w:val="20"/>
        </w:rPr>
      </w:pPr>
      <w:r>
        <w:rPr>
          <w:rFonts w:cs="Arial"/>
          <w:bCs/>
          <w:color w:val="696969"/>
          <w:szCs w:val="20"/>
        </w:rPr>
        <w:t>Pharmacy Program Manager</w:t>
      </w:r>
    </w:p>
    <w:p w:rsidR="00A71502" w:rsidRDefault="00A71502" w:rsidP="00A71502">
      <w:pPr>
        <w:rPr>
          <w:rFonts w:cs="Arial"/>
          <w:bCs/>
          <w:color w:val="696969"/>
          <w:szCs w:val="20"/>
        </w:rPr>
      </w:pPr>
      <w:r>
        <w:rPr>
          <w:rFonts w:cs="Arial"/>
          <w:bCs/>
          <w:color w:val="696969"/>
          <w:szCs w:val="20"/>
        </w:rPr>
        <w:t>Vizient</w:t>
      </w:r>
    </w:p>
    <w:p w:rsidR="00A71502" w:rsidRPr="00A71502" w:rsidRDefault="00A71502" w:rsidP="00A71502"/>
    <w:p w:rsidR="00231702" w:rsidRDefault="00231702" w:rsidP="00231702">
      <w:pPr>
        <w:pStyle w:val="Heading3"/>
        <w:spacing w:before="0" w:after="120"/>
        <w:rPr>
          <w:rFonts w:cs="Arial"/>
          <w:color w:val="01ADAB"/>
          <w:sz w:val="24"/>
        </w:rPr>
      </w:pPr>
      <w:r>
        <w:rPr>
          <w:rFonts w:cs="Arial"/>
          <w:color w:val="01ADAB"/>
          <w:sz w:val="24"/>
        </w:rPr>
        <w:t>Course reviewer</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0A5DD0" w:rsidRDefault="000A5DD0" w:rsidP="000A5DD0">
      <w:pPr>
        <w:rPr>
          <w:rFonts w:cs="Arial"/>
          <w:bCs/>
          <w:color w:val="696969"/>
          <w:szCs w:val="20"/>
        </w:rPr>
      </w:pPr>
      <w:r>
        <w:rPr>
          <w:rFonts w:cs="Arial"/>
          <w:bCs/>
          <w:color w:val="696969"/>
          <w:szCs w:val="20"/>
        </w:rPr>
        <w:t>Pharmacy Clinical Manager</w:t>
      </w:r>
    </w:p>
    <w:p w:rsidR="00A71502" w:rsidRDefault="00A71502" w:rsidP="00A71502">
      <w:pPr>
        <w:rPr>
          <w:rFonts w:cs="Arial"/>
          <w:bCs/>
          <w:color w:val="696969"/>
          <w:szCs w:val="20"/>
        </w:rPr>
      </w:pPr>
      <w:r>
        <w:rPr>
          <w:rFonts w:cs="Arial"/>
          <w:bCs/>
          <w:color w:val="696969"/>
          <w:szCs w:val="20"/>
        </w:rPr>
        <w:t>Vizient</w:t>
      </w:r>
    </w:p>
    <w:p w:rsidR="00A71502" w:rsidRPr="00A71502" w:rsidRDefault="00A71502" w:rsidP="00A71502"/>
    <w:p w:rsidR="008730EB" w:rsidRDefault="000A5DD0" w:rsidP="008730EB">
      <w:pPr>
        <w:pStyle w:val="Heading3"/>
        <w:spacing w:before="0" w:after="120"/>
        <w:rPr>
          <w:rFonts w:cs="Arial"/>
          <w:color w:val="01ADAB"/>
          <w:sz w:val="24"/>
        </w:rPr>
      </w:pPr>
      <w:r>
        <w:rPr>
          <w:rFonts w:cs="Arial"/>
          <w:color w:val="01ADAB"/>
          <w:sz w:val="24"/>
        </w:rPr>
        <w:t>Presenter</w:t>
      </w:r>
    </w:p>
    <w:p w:rsidR="00A71502" w:rsidRDefault="000A5DD0" w:rsidP="00A71502">
      <w:pPr>
        <w:rPr>
          <w:b/>
          <w:color w:val="595959" w:themeColor="text1" w:themeTint="A6"/>
        </w:rPr>
      </w:pPr>
      <w:r>
        <w:rPr>
          <w:b/>
          <w:color w:val="595959" w:themeColor="text1" w:themeTint="A6"/>
        </w:rPr>
        <w:t xml:space="preserve">Melinda </w:t>
      </w:r>
      <w:proofErr w:type="spellStart"/>
      <w:r>
        <w:rPr>
          <w:b/>
          <w:color w:val="595959" w:themeColor="text1" w:themeTint="A6"/>
        </w:rPr>
        <w:t>Neuhauser</w:t>
      </w:r>
      <w:proofErr w:type="spellEnd"/>
      <w:r>
        <w:rPr>
          <w:b/>
          <w:color w:val="595959" w:themeColor="text1" w:themeTint="A6"/>
        </w:rPr>
        <w:t xml:space="preserve">, </w:t>
      </w:r>
      <w:proofErr w:type="spellStart"/>
      <w:r>
        <w:rPr>
          <w:b/>
          <w:color w:val="595959" w:themeColor="text1" w:themeTint="A6"/>
        </w:rPr>
        <w:t>PharmD</w:t>
      </w:r>
      <w:proofErr w:type="spellEnd"/>
      <w:r>
        <w:rPr>
          <w:b/>
          <w:color w:val="595959" w:themeColor="text1" w:themeTint="A6"/>
        </w:rPr>
        <w:t>, MPH</w:t>
      </w:r>
    </w:p>
    <w:p w:rsidR="00C071F3" w:rsidRPr="00C071F3" w:rsidRDefault="000A5DD0" w:rsidP="00A71502">
      <w:pPr>
        <w:rPr>
          <w:color w:val="595959" w:themeColor="text1" w:themeTint="A6"/>
        </w:rPr>
      </w:pPr>
      <w:r>
        <w:rPr>
          <w:color w:val="595959" w:themeColor="text1" w:themeTint="A6"/>
        </w:rPr>
        <w:t>Pharmacist and Acute Care Lead</w:t>
      </w:r>
    </w:p>
    <w:p w:rsidR="00A71502" w:rsidRPr="00A71502" w:rsidRDefault="000A5DD0" w:rsidP="00A71502">
      <w:pPr>
        <w:rPr>
          <w:color w:val="595959" w:themeColor="text1" w:themeTint="A6"/>
        </w:rPr>
      </w:pPr>
      <w:r>
        <w:rPr>
          <w:color w:val="595959" w:themeColor="text1" w:themeTint="A6"/>
        </w:rPr>
        <w:t>CDC DHQP Office of Antibiotic Stewardship</w:t>
      </w:r>
    </w:p>
    <w:p w:rsidR="00A71502" w:rsidRDefault="00A71502" w:rsidP="00A71502">
      <w:pPr>
        <w:rPr>
          <w:color w:val="595959" w:themeColor="text1" w:themeTint="A6"/>
        </w:rPr>
      </w:pPr>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52CEC"/>
    <w:rsid w:val="00056A0F"/>
    <w:rsid w:val="00060A68"/>
    <w:rsid w:val="00060DE0"/>
    <w:rsid w:val="00065834"/>
    <w:rsid w:val="000765B6"/>
    <w:rsid w:val="00095B16"/>
    <w:rsid w:val="000970CD"/>
    <w:rsid w:val="000A5DD0"/>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64EB2"/>
    <w:rsid w:val="00273E1B"/>
    <w:rsid w:val="0029361D"/>
    <w:rsid w:val="002B3983"/>
    <w:rsid w:val="002C549F"/>
    <w:rsid w:val="002D0D3A"/>
    <w:rsid w:val="002D2FCE"/>
    <w:rsid w:val="002E26E9"/>
    <w:rsid w:val="002E5346"/>
    <w:rsid w:val="00312693"/>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4283"/>
    <w:rsid w:val="006775CF"/>
    <w:rsid w:val="006A6544"/>
    <w:rsid w:val="006B43B7"/>
    <w:rsid w:val="006B66BF"/>
    <w:rsid w:val="006B6BF5"/>
    <w:rsid w:val="006B76D9"/>
    <w:rsid w:val="006B7975"/>
    <w:rsid w:val="006C2361"/>
    <w:rsid w:val="006D079A"/>
    <w:rsid w:val="006D094B"/>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7C6C"/>
    <w:rsid w:val="008939B0"/>
    <w:rsid w:val="008A32F5"/>
    <w:rsid w:val="008A62EB"/>
    <w:rsid w:val="008B127D"/>
    <w:rsid w:val="008C28EE"/>
    <w:rsid w:val="008D1039"/>
    <w:rsid w:val="008F0EC4"/>
    <w:rsid w:val="008F1D8E"/>
    <w:rsid w:val="009225E4"/>
    <w:rsid w:val="00931508"/>
    <w:rsid w:val="009322F6"/>
    <w:rsid w:val="00952F89"/>
    <w:rsid w:val="00963CDE"/>
    <w:rsid w:val="00971D43"/>
    <w:rsid w:val="00980A48"/>
    <w:rsid w:val="00987B49"/>
    <w:rsid w:val="009A27BF"/>
    <w:rsid w:val="009A7E1B"/>
    <w:rsid w:val="009A7E9D"/>
    <w:rsid w:val="009B2BA5"/>
    <w:rsid w:val="009B6D1A"/>
    <w:rsid w:val="009C1FD1"/>
    <w:rsid w:val="009D4020"/>
    <w:rsid w:val="009F4A49"/>
    <w:rsid w:val="00A0002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F5337"/>
    <w:rsid w:val="00C04534"/>
    <w:rsid w:val="00C071F3"/>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SourceDataModel Name="Computed" TargetDataSourceId="87651697-ca1f-4d80-9f69-bb743e325714"/>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SourceDataModel Name="System" TargetDataSourceId="00b80028-d226-4a39-9a19-6787589aad19"/>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VariableListDefinition name="AD_HOC" displayName="AD_HOC" id="9426ea6f-1b24-4683-bca3-85d71f6375fd" isdomainofvalue="False" dataSourceId="80be7e5f-6e71-448c-9228-23264555308c"/>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AllExternalAdhocVariableMappings/>
</file>

<file path=customXml/item25.xml><?xml version="1.0" encoding="utf-8"?>
<AllWordPDs>
</AllWordPDs>
</file>

<file path=customXml/item26.xml><?xml version="1.0" encoding="utf-8"?>
<SourceDataModel Name="AD_HOC" Target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AllMeta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DocPartTree/>
</file>

<file path=customXml/item7.xml><?xml version="1.0" encoding="utf-8"?>
<VariableListDefinition name="System" displayName="System" id="dc9731b4-d0d2-4ed5-b20d-434d69de1706" isdomainofvalue="False" dataSourceId="00b80028-d226-4a39-9a19-6787589aad19"/>
</file>

<file path=customXml/item8.xml><?xml version="1.0" encoding="utf-8"?>
<VariableUsageMapping/>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5BEF3205-EB69-4E70-BFE8-AFB1DD2B0B96}">
  <ds:schemaRefs>
    <ds:schemaRef ds:uri="0b2929d2-a33e-45c9-980d-b30e626659d9"/>
    <ds:schemaRef ds:uri="http://schemas.microsoft.com/sharepoint/v3"/>
    <ds:schemaRef ds:uri="http://schemas.microsoft.com/sharepoint/v3/fields"/>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1de6e417-ba3b-42be-b14a-7f4cb43c809f"/>
    <ds:schemaRef ds:uri="01e59a59-e903-4787-b1b4-4a99956146ec"/>
    <ds:schemaRef ds:uri="http://purl.org/dc/elements/1.1/"/>
    <ds:schemaRef ds:uri="fff2b044-c74a-4bd8-8e92-b14b9b13b2b5"/>
    <ds:schemaRef ds:uri="http://www.w3.org/XML/1998/namespace"/>
    <ds:schemaRef ds:uri="http://purl.org/dc/dcmitype/"/>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4D7A5988-DB0A-4376-8203-5126C59CFD79}">
  <ds:schemaRefs>
    <ds:schemaRef ds:uri="http://schemas.openxmlformats.org/officeDocument/2006/bibliography"/>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2019-10-28T16:45:00Z</dcterms:created>
  <dcterms:modified xsi:type="dcterms:W3CDTF">2019-10-31T12:28:00Z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