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5AC73A2C" w:rsidR="00ED6AE4" w:rsidRPr="008B1CED" w:rsidRDefault="00EA65A6" w:rsidP="00ED6AE4">
      <w:pPr>
        <w:pStyle w:val="Heading"/>
      </w:pPr>
      <w:r>
        <w:t>Bye, Bye, Bicarb: A Review on Controversial Uses of Sodium Bicarbonate</w:t>
      </w:r>
    </w:p>
    <w:p w14:paraId="0D0DC3CD" w14:textId="4332482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A65A6">
        <w:rPr>
          <w:color w:val="595959" w:themeColor="text1" w:themeTint="A6"/>
        </w:rPr>
        <w:t>June 2, 2021</w:t>
      </w:r>
    </w:p>
    <w:p w14:paraId="641D3E3A" w14:textId="0310B10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EA65A6">
        <w:rPr>
          <w:color w:val="595959" w:themeColor="text1" w:themeTint="A6"/>
        </w:rPr>
        <w:t>Linda Thomas,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414E632"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A4B7F">
        <w:rPr>
          <w:rFonts w:cs="Arial"/>
          <w:b/>
          <w:color w:val="595959" w:themeColor="text1" w:themeTint="A6"/>
          <w:szCs w:val="20"/>
        </w:rPr>
        <w:t>July 19,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2831BA51" w:rsidR="008730EB" w:rsidRPr="008730EB" w:rsidRDefault="00DA4B7F"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2175703F" w:rsidR="0035174D" w:rsidRPr="00145C63" w:rsidRDefault="00DA4B7F"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Recognize the risk versus benefit in administering sodium bicarbonate</w:t>
      </w:r>
    </w:p>
    <w:p w14:paraId="193176A5" w14:textId="6A5E4C61" w:rsidR="004A294A" w:rsidRPr="00145C63" w:rsidRDefault="00DA4B7F"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Evaluate literature surrounding sodium bicarbonate use in cardiac arrest, diabetic ketoacidosis and sepsis/septic shock</w:t>
      </w:r>
    </w:p>
    <w:p w14:paraId="19A14A12" w14:textId="6A2CB6B8" w:rsidR="004A294A" w:rsidRPr="00145C63" w:rsidRDefault="00DA4B7F"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Recommend when to add or omit sodium bicarbonate in a medication regiment</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4F25CB7D" w:rsidR="0013180C" w:rsidRPr="00145C63" w:rsidRDefault="00DA4B7F"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Identify the different formulations of sodium bicarbonate</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59FE095"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DA4B7F">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5A6CF53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DA4B7F">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DA4B7F">
        <w:rPr>
          <w:rFonts w:cs="Arial"/>
          <w:color w:val="595959" w:themeColor="text1" w:themeTint="A6"/>
        </w:rPr>
        <w:t>145</w:t>
      </w:r>
      <w:r w:rsidRPr="00145C63">
        <w:rPr>
          <w:rFonts w:cs="Arial"/>
          <w:color w:val="595959" w:themeColor="text1" w:themeTint="A6"/>
        </w:rPr>
        <w:t>-L0</w:t>
      </w:r>
      <w:r w:rsidR="00DA4B7F">
        <w:rPr>
          <w:rFonts w:cs="Arial"/>
          <w:color w:val="595959" w:themeColor="text1" w:themeTint="A6"/>
        </w:rPr>
        <w:t>4</w:t>
      </w:r>
      <w:r w:rsidRPr="00145C63">
        <w:rPr>
          <w:rFonts w:cs="Arial"/>
          <w:color w:val="595959" w:themeColor="text1" w:themeTint="A6"/>
        </w:rPr>
        <w:t>-P</w:t>
      </w:r>
    </w:p>
    <w:p w14:paraId="2FFAF152" w14:textId="5E990A93"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DA4B7F">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DA4B7F">
        <w:rPr>
          <w:rFonts w:cs="Arial"/>
          <w:color w:val="595959" w:themeColor="text1" w:themeTint="A6"/>
        </w:rPr>
        <w:t>145</w:t>
      </w:r>
      <w:r w:rsidRPr="00145C63">
        <w:rPr>
          <w:rFonts w:cs="Arial"/>
          <w:color w:val="595959" w:themeColor="text1" w:themeTint="A6"/>
        </w:rPr>
        <w:t>-L0</w:t>
      </w:r>
      <w:r w:rsidR="00DA4B7F">
        <w:rPr>
          <w:rFonts w:cs="Arial"/>
          <w:color w:val="595959" w:themeColor="text1" w:themeTint="A6"/>
        </w:rPr>
        <w:t>4</w:t>
      </w:r>
      <w:r w:rsidRPr="00145C63">
        <w:rPr>
          <w:rFonts w:cs="Arial"/>
          <w:color w:val="595959" w:themeColor="text1" w:themeTint="A6"/>
        </w:rPr>
        <w:t>-T</w:t>
      </w:r>
    </w:p>
    <w:p w14:paraId="0F2668FA" w14:textId="77777777" w:rsidR="0013180C" w:rsidRPr="00145C63" w:rsidRDefault="0013180C" w:rsidP="0013180C">
      <w:pPr>
        <w:pStyle w:val="Heading4"/>
        <w:rPr>
          <w:color w:val="595959" w:themeColor="text1" w:themeTint="A6"/>
          <w:sz w:val="22"/>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D73D02F" w:rsidR="00CB449D" w:rsidRPr="00145C63" w:rsidRDefault="00DA4B7F" w:rsidP="00DD68D3">
      <w:pPr>
        <w:rPr>
          <w:b/>
          <w:color w:val="595959" w:themeColor="text1" w:themeTint="A6"/>
        </w:rPr>
      </w:pPr>
      <w:r>
        <w:rPr>
          <w:b/>
          <w:color w:val="595959" w:themeColor="text1" w:themeTint="A6"/>
        </w:rPr>
        <w:t>Linda Thomas, PharmD, BCPS</w:t>
      </w:r>
    </w:p>
    <w:p w14:paraId="529DCE50" w14:textId="57441916" w:rsidR="00CB449D" w:rsidRPr="00145C63" w:rsidRDefault="00DA4B7F" w:rsidP="00DD68D3">
      <w:pPr>
        <w:rPr>
          <w:color w:val="595959" w:themeColor="text1" w:themeTint="A6"/>
        </w:rPr>
      </w:pPr>
      <w:r>
        <w:rPr>
          <w:color w:val="595959" w:themeColor="text1" w:themeTint="A6"/>
        </w:rPr>
        <w:t>Pharmacy Residency Coordinator</w:t>
      </w:r>
    </w:p>
    <w:p w14:paraId="0B00B718" w14:textId="2497E781" w:rsidR="00CB449D" w:rsidRPr="00145C63" w:rsidRDefault="00DA4B7F" w:rsidP="00DD68D3">
      <w:pPr>
        <w:rPr>
          <w:color w:val="595959" w:themeColor="text1" w:themeTint="A6"/>
        </w:rPr>
      </w:pPr>
      <w:r>
        <w:rPr>
          <w:color w:val="595959" w:themeColor="text1" w:themeTint="A6"/>
        </w:rPr>
        <w:t>University of Rochester Medical Center</w:t>
      </w:r>
    </w:p>
    <w:p w14:paraId="357CDA01" w14:textId="77777777" w:rsidR="00CB449D" w:rsidRPr="00CB449D" w:rsidRDefault="00CB449D" w:rsidP="00DD68D3">
      <w:pPr>
        <w:rPr>
          <w:color w:val="7F7F7F" w:themeColor="text1" w:themeTint="80"/>
        </w:rPr>
      </w:pPr>
    </w:p>
    <w:p w14:paraId="11C41A61" w14:textId="0E5D111C" w:rsidR="00CB449D" w:rsidRPr="00145C63" w:rsidRDefault="00DA4B7F" w:rsidP="00DD68D3">
      <w:pPr>
        <w:rPr>
          <w:b/>
          <w:color w:val="595959" w:themeColor="text1" w:themeTint="A6"/>
        </w:rPr>
      </w:pPr>
      <w:r>
        <w:rPr>
          <w:b/>
          <w:color w:val="595959" w:themeColor="text1" w:themeTint="A6"/>
        </w:rPr>
        <w:t>Jenna Clark, PharmD, BCCCP</w:t>
      </w:r>
    </w:p>
    <w:p w14:paraId="2B34AFB1" w14:textId="038D28F7" w:rsidR="00CB449D" w:rsidRPr="00145C63" w:rsidRDefault="00DA4B7F" w:rsidP="00DD68D3">
      <w:pPr>
        <w:rPr>
          <w:color w:val="595959" w:themeColor="text1" w:themeTint="A6"/>
        </w:rPr>
      </w:pPr>
      <w:r>
        <w:rPr>
          <w:color w:val="595959" w:themeColor="text1" w:themeTint="A6"/>
        </w:rPr>
        <w:t>Clinical Pharmacy Specialist – Medical ICU</w:t>
      </w:r>
    </w:p>
    <w:p w14:paraId="355A298C" w14:textId="77777777" w:rsidR="00DA4B7F" w:rsidRPr="00145C63" w:rsidRDefault="00DA4B7F" w:rsidP="00DA4B7F">
      <w:pPr>
        <w:rPr>
          <w:color w:val="595959" w:themeColor="text1" w:themeTint="A6"/>
        </w:rPr>
      </w:pPr>
      <w:r>
        <w:rPr>
          <w:color w:val="595959" w:themeColor="text1" w:themeTint="A6"/>
        </w:rPr>
        <w:t>University of Rochester Medical Center</w:t>
      </w:r>
    </w:p>
    <w:p w14:paraId="2E4B3623" w14:textId="77777777" w:rsidR="00CB449D" w:rsidRPr="00145C63" w:rsidRDefault="00CB449D" w:rsidP="00DD68D3">
      <w:pPr>
        <w:rPr>
          <w:color w:val="595959" w:themeColor="text1" w:themeTint="A6"/>
        </w:rPr>
      </w:pPr>
    </w:p>
    <w:p w14:paraId="30F378A1" w14:textId="5EF8B98C"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lastRenderedPageBreak/>
        <w:t>Course reviewer</w:t>
      </w:r>
    </w:p>
    <w:p w14:paraId="4D751642" w14:textId="77777777" w:rsidR="00DD68D3" w:rsidRPr="00DD68D3" w:rsidRDefault="00DD68D3" w:rsidP="00DD68D3"/>
    <w:p w14:paraId="2228C6D7" w14:textId="77777777" w:rsidR="00531BC2" w:rsidRPr="00266041" w:rsidRDefault="00531BC2" w:rsidP="00531BC2">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1160F801" w14:textId="77777777" w:rsidR="00531BC2" w:rsidRPr="00266041" w:rsidRDefault="00531BC2" w:rsidP="00531BC2">
      <w:pPr>
        <w:rPr>
          <w:rFonts w:cs="Arial"/>
          <w:color w:val="595959" w:themeColor="text1" w:themeTint="A6"/>
        </w:rPr>
      </w:pPr>
      <w:r w:rsidRPr="00266041">
        <w:rPr>
          <w:rFonts w:cs="Arial"/>
          <w:color w:val="595959" w:themeColor="text1" w:themeTint="A6"/>
        </w:rPr>
        <w:t>PI Program Director, Pharmacy</w:t>
      </w:r>
    </w:p>
    <w:p w14:paraId="5017064B" w14:textId="77777777" w:rsidR="00531BC2" w:rsidRDefault="00531BC2" w:rsidP="00531BC2">
      <w:pPr>
        <w:rPr>
          <w:rFonts w:cs="Arial"/>
          <w:color w:val="595959" w:themeColor="text1" w:themeTint="A6"/>
        </w:rPr>
      </w:pPr>
      <w:r w:rsidRPr="00266041">
        <w:rPr>
          <w:rFonts w:cs="Arial"/>
          <w:color w:val="595959" w:themeColor="text1" w:themeTint="A6"/>
        </w:rPr>
        <w:t>Vizient</w:t>
      </w:r>
      <w:r>
        <w:rPr>
          <w:rFonts w:cs="Arial"/>
          <w:color w:val="595959" w:themeColor="text1" w:themeTint="A6"/>
        </w:rPr>
        <w:t>, Inc.</w:t>
      </w:r>
    </w:p>
    <w:p w14:paraId="21C46B0A" w14:textId="77777777" w:rsidR="00CB449D" w:rsidRPr="00145C63" w:rsidRDefault="00CB449D" w:rsidP="00DD68D3">
      <w:pPr>
        <w:rPr>
          <w:color w:val="595959" w:themeColor="text1" w:themeTint="A6"/>
        </w:rPr>
      </w:pPr>
    </w:p>
    <w:p w14:paraId="7E02880C" w14:textId="06F319F6"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079DE931" w:rsidR="00CB449D" w:rsidRPr="00145C63" w:rsidRDefault="00DA4B7F" w:rsidP="00DD68D3">
      <w:pPr>
        <w:rPr>
          <w:b/>
          <w:color w:val="595959" w:themeColor="text1" w:themeTint="A6"/>
        </w:rPr>
      </w:pPr>
      <w:r>
        <w:rPr>
          <w:b/>
          <w:color w:val="595959" w:themeColor="text1" w:themeTint="A6"/>
        </w:rPr>
        <w:t xml:space="preserve">Kristen </w:t>
      </w:r>
      <w:proofErr w:type="spellStart"/>
      <w:r>
        <w:rPr>
          <w:b/>
          <w:color w:val="595959" w:themeColor="text1" w:themeTint="A6"/>
        </w:rPr>
        <w:t>Poteat</w:t>
      </w:r>
      <w:proofErr w:type="spellEnd"/>
      <w:r>
        <w:rPr>
          <w:b/>
          <w:color w:val="595959" w:themeColor="text1" w:themeTint="A6"/>
        </w:rPr>
        <w:t>, PharmD</w:t>
      </w:r>
    </w:p>
    <w:p w14:paraId="69E43666" w14:textId="77853BD9" w:rsidR="00CB449D" w:rsidRPr="00145C63" w:rsidRDefault="00DA4B7F" w:rsidP="00DD68D3">
      <w:pPr>
        <w:rPr>
          <w:color w:val="595959" w:themeColor="text1" w:themeTint="A6"/>
        </w:rPr>
      </w:pPr>
      <w:r>
        <w:rPr>
          <w:color w:val="595959" w:themeColor="text1" w:themeTint="A6"/>
        </w:rPr>
        <w:t>PGY1 Pharmacy Practice Resident</w:t>
      </w:r>
    </w:p>
    <w:p w14:paraId="4D55FBAD" w14:textId="77777777" w:rsidR="00DA4B7F" w:rsidRPr="00145C63" w:rsidRDefault="00DA4B7F" w:rsidP="00DA4B7F">
      <w:pPr>
        <w:rPr>
          <w:color w:val="595959" w:themeColor="text1" w:themeTint="A6"/>
        </w:rPr>
      </w:pPr>
      <w:r>
        <w:rPr>
          <w:color w:val="595959" w:themeColor="text1" w:themeTint="A6"/>
        </w:rPr>
        <w:t>University of Rochester Medical Center</w:t>
      </w:r>
    </w:p>
    <w:p w14:paraId="1056CB21" w14:textId="77777777" w:rsidR="00CB449D" w:rsidRPr="00145C63" w:rsidRDefault="00CB449D" w:rsidP="00DD68D3">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1BC2"/>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4B7F"/>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A65A6"/>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AllWordPDs>
</AllWordPDs>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VariableListDefinition name="System" displayName="System" id="dc9731b4-d0d2-4ed5-b20d-434d69de1706" isdomainofvalue="False" dataSourceId="00b80028-d226-4a39-9a19-6787589aad19"/>
</file>

<file path=customXml/item14.xml><?xml version="1.0" encoding="utf-8"?>
<VariableUsageMapping/>
</file>

<file path=customXml/item15.xml><?xml version="1.0" encoding="utf-8"?>
<SourceDataModel Name="Computed" TargetDataSourceId="87651697-ca1f-4d80-9f69-bb743e325714"/>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VariableListDefinition name="Computed" displayName="Computed" id="69155e26-4760-488b-ab4c-bb15b0f8b2a2" isdomainofvalue="False" dataSourceId="87651697-ca1f-4d80-9f69-bb743e325714"/>
</file>

<file path=customXml/item18.xml><?xml version="1.0" encoding="utf-8"?>
<AllExternalAdhocVariableMappings/>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SourceDataModel Name="AD_HOC" TargetDataSourceId="80be7e5f-6e71-448c-9228-23264555308c"/>
</file>

<file path=customXml/item2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AllMetadata/>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DataSourceInfo>
  <Id>87651697-ca1f-4d80-9f69-bb743e325714</Id>
  <MajorVersion>0</MajorVersion>
  <MinorVersion>1</MinorVersion>
  <DataSourceType>Expression</DataSourceType>
  <Name>Computed</Name>
  <Description/>
  <Filter/>
  <DataFields/>
</DataSourceInfo>
</file>

<file path=customXml/item2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VariableListDefinition name="AD_HOC" displayName="AD_HOC" id="9426ea6f-1b24-4683-bca3-85d71f6375fd" isdomainofvalue="False" dataSourceId="80be7e5f-6e71-448c-9228-23264555308c"/>
</file>

<file path=customXml/item8.xml><?xml version="1.0" encoding="utf-8"?>
<SourceDataModel Name="System" TargetDataSourceId="00b80028-d226-4a39-9a19-6787589aad19"/>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80CE4447-D1BD-469E-BD8B-B31A4C9A896F}">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7B773B23-CD27-407C-8EF7-714316C2ACF2}">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C4AEAB29-4929-45AF-A192-84C4D708764D}">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83B1EF68-4D55-4397-AF73-D916BC2254F0}">
  <ds:schemaRefs/>
</ds:datastoreItem>
</file>

<file path=customXml/itemProps27.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3.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4.xml><?xml version="1.0" encoding="utf-8"?>
<ds:datastoreItem xmlns:ds="http://schemas.openxmlformats.org/officeDocument/2006/customXml" ds:itemID="{0510B9D0-C027-45D1-B797-FA865004CBBF}">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2021-05-07T13:11:00Z</dcterms:created>
  <dcterms:modified xsi:type="dcterms:W3CDTF">2021-05-07T13:18:00Z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