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73BF88B" w:rsidR="00ED6AE4" w:rsidRPr="008B1CED" w:rsidRDefault="009A3E67" w:rsidP="00ED6AE4">
      <w:pPr>
        <w:pStyle w:val="Heading"/>
      </w:pPr>
      <w:r>
        <w:t>Best Practices for Managing High Cost Medications – Managed Care</w:t>
      </w:r>
    </w:p>
    <w:p w14:paraId="0D0DC3CD" w14:textId="02E2B59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A3E67">
        <w:rPr>
          <w:color w:val="595959" w:themeColor="text1" w:themeTint="A6"/>
        </w:rPr>
        <w:t>May 17, 2021</w:t>
      </w:r>
    </w:p>
    <w:p w14:paraId="641D3E3A" w14:textId="0496554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A3E67">
        <w:rPr>
          <w:color w:val="595959" w:themeColor="text1" w:themeTint="A6"/>
        </w:rPr>
        <w:t>Sybil Thomas</w:t>
      </w:r>
      <w:r w:rsidR="00A84910">
        <w:rPr>
          <w:color w:val="595959" w:themeColor="text1" w:themeTint="A6"/>
        </w:rPr>
        <w:t>, PharmD,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33A307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A1481">
        <w:rPr>
          <w:rFonts w:cs="Arial"/>
          <w:b/>
          <w:color w:val="595959" w:themeColor="text1" w:themeTint="A6"/>
          <w:szCs w:val="20"/>
        </w:rPr>
        <w:t>June 30,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34EB5A2F"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60AEBEF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E3097FF" w:rsidR="0035174D" w:rsidRPr="00145C63" w:rsidRDefault="002A1481"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Outline strategies to navigate payer mandates of high-cost infusion medications.</w:t>
      </w:r>
    </w:p>
    <w:p w14:paraId="193176A5" w14:textId="2F30621C" w:rsidR="004A294A" w:rsidRPr="00145C63" w:rsidRDefault="002A1481"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Assess operational practices to manage high-cost medications including brown-bagging, white-bagging, and clear-bagging operations.</w:t>
      </w:r>
    </w:p>
    <w:p w14:paraId="19A14A12" w14:textId="0AC2D449" w:rsidR="004A294A" w:rsidRPr="00145C63" w:rsidRDefault="002A1481"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Describe the process of implementing managed care pharmacy services at a health system.</w:t>
      </w:r>
    </w:p>
    <w:p w14:paraId="5BA35BDF" w14:textId="7EFA394F" w:rsidR="0013180C" w:rsidRPr="00145C63" w:rsidRDefault="002A1481" w:rsidP="0013180C">
      <w:pPr>
        <w:pStyle w:val="ListParagraph"/>
        <w:numPr>
          <w:ilvl w:val="0"/>
          <w:numId w:val="40"/>
        </w:numPr>
        <w:ind w:left="360"/>
        <w:rPr>
          <w:color w:val="595959" w:themeColor="text1" w:themeTint="A6"/>
        </w:rPr>
      </w:pPr>
      <w:r>
        <w:rPr>
          <w:color w:val="595959" w:themeColor="text1" w:themeTint="A6"/>
        </w:rPr>
        <w:t>Differentiate managed care practices among the outpatient and inpatient setting to optimize reimbursement.</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2448BBE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2A1481">
        <w:rPr>
          <w:rFonts w:cs="Arial"/>
          <w:color w:val="595959" w:themeColor="text1" w:themeTint="A6"/>
        </w:rPr>
        <w:t>13</w:t>
      </w:r>
      <w:r w:rsidR="006C2ED3">
        <w:rPr>
          <w:rFonts w:cs="Arial"/>
          <w:color w:val="595959" w:themeColor="text1" w:themeTint="A6"/>
        </w:rPr>
        <w:t>5</w:t>
      </w:r>
      <w:r w:rsidRPr="00145C63">
        <w:rPr>
          <w:rFonts w:cs="Arial"/>
          <w:color w:val="595959" w:themeColor="text1" w:themeTint="A6"/>
        </w:rPr>
        <w:t>-L0</w:t>
      </w:r>
      <w:r w:rsidR="002A1481">
        <w:rPr>
          <w:rFonts w:cs="Arial"/>
          <w:color w:val="595959" w:themeColor="text1" w:themeTint="A6"/>
        </w:rPr>
        <w:t>4</w:t>
      </w:r>
      <w:r w:rsidRPr="00145C63">
        <w:rPr>
          <w:rFonts w:cs="Arial"/>
          <w:color w:val="595959" w:themeColor="text1" w:themeTint="A6"/>
        </w:rPr>
        <w:t>-P</w:t>
      </w:r>
    </w:p>
    <w:p w14:paraId="0F2668FA" w14:textId="77777777" w:rsidR="0013180C" w:rsidRPr="00145C63" w:rsidRDefault="0013180C" w:rsidP="0013180C">
      <w:pPr>
        <w:pStyle w:val="Heading4"/>
        <w:rPr>
          <w:color w:val="595959" w:themeColor="text1" w:themeTint="A6"/>
          <w:sz w:val="22"/>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283181">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283181">
      <w:pPr>
        <w:rPr>
          <w:color w:val="595959" w:themeColor="text1" w:themeTint="A6"/>
        </w:rPr>
      </w:pPr>
    </w:p>
    <w:p w14:paraId="51E2B5DF" w14:textId="0ED8C6A7" w:rsidR="00CB449D" w:rsidRPr="00D3796A" w:rsidRDefault="00CB449D" w:rsidP="00283181">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A3342AF" w:rsidR="00CB449D" w:rsidRPr="00145C63" w:rsidRDefault="00283181" w:rsidP="00DD68D3">
      <w:pPr>
        <w:rPr>
          <w:b/>
          <w:color w:val="595959" w:themeColor="text1" w:themeTint="A6"/>
        </w:rPr>
      </w:pPr>
      <w:r>
        <w:rPr>
          <w:b/>
          <w:color w:val="595959" w:themeColor="text1" w:themeTint="A6"/>
        </w:rPr>
        <w:t>Sybil Thomas, PharmD, MBA</w:t>
      </w:r>
    </w:p>
    <w:p w14:paraId="529DCE50" w14:textId="1615BC5D" w:rsidR="00CB449D" w:rsidRPr="00145C63" w:rsidRDefault="00283181" w:rsidP="00DD68D3">
      <w:pPr>
        <w:rPr>
          <w:color w:val="595959" w:themeColor="text1" w:themeTint="A6"/>
        </w:rPr>
      </w:pPr>
      <w:r>
        <w:rPr>
          <w:color w:val="595959" w:themeColor="text1" w:themeTint="A6"/>
        </w:rPr>
        <w:t>Senior Director, Pharmacy</w:t>
      </w:r>
    </w:p>
    <w:p w14:paraId="0B00B718" w14:textId="6E6498BE" w:rsidR="00CB449D" w:rsidRPr="00145C63" w:rsidRDefault="00283181"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35CC29C6" w:rsidR="00CB449D" w:rsidRPr="00145C63" w:rsidRDefault="00283181" w:rsidP="00DD68D3">
      <w:pPr>
        <w:rPr>
          <w:b/>
          <w:color w:val="595959" w:themeColor="text1" w:themeTint="A6"/>
        </w:rPr>
      </w:pPr>
      <w:r>
        <w:rPr>
          <w:b/>
          <w:color w:val="595959" w:themeColor="text1" w:themeTint="A6"/>
        </w:rPr>
        <w:t>Henry Clark, PharmD</w:t>
      </w:r>
    </w:p>
    <w:p w14:paraId="2B34AFB1" w14:textId="2EBDC05B" w:rsidR="00CB449D" w:rsidRPr="00145C63" w:rsidRDefault="00283181" w:rsidP="00DD68D3">
      <w:pPr>
        <w:rPr>
          <w:color w:val="595959" w:themeColor="text1" w:themeTint="A6"/>
        </w:rPr>
      </w:pPr>
      <w:r>
        <w:rPr>
          <w:color w:val="595959" w:themeColor="text1" w:themeTint="A6"/>
        </w:rPr>
        <w:t>PGY-1/MS1 Health-System Pharmacy Administration and Leadership Resident</w:t>
      </w:r>
    </w:p>
    <w:p w14:paraId="1F44D279" w14:textId="32890F7D" w:rsidR="00CB449D" w:rsidRPr="00145C63" w:rsidRDefault="00283181" w:rsidP="00DD68D3">
      <w:pPr>
        <w:rPr>
          <w:color w:val="595959" w:themeColor="text1" w:themeTint="A6"/>
        </w:rPr>
      </w:pPr>
      <w:r>
        <w:rPr>
          <w:color w:val="595959" w:themeColor="text1" w:themeTint="A6"/>
        </w:rPr>
        <w:t>The Ohio State University Wexner Medical Center</w:t>
      </w:r>
    </w:p>
    <w:p w14:paraId="2E4B3623" w14:textId="77777777" w:rsidR="00CB449D" w:rsidRPr="00145C63" w:rsidRDefault="00CB449D" w:rsidP="00DD68D3">
      <w:pPr>
        <w:rPr>
          <w:color w:val="595959" w:themeColor="text1" w:themeTint="A6"/>
        </w:rPr>
      </w:pPr>
    </w:p>
    <w:p w14:paraId="1668AFD0" w14:textId="3DA992B7" w:rsidR="00CB449D" w:rsidRPr="00145C63" w:rsidRDefault="00283181" w:rsidP="00DD68D3">
      <w:pPr>
        <w:rPr>
          <w:b/>
          <w:color w:val="595959" w:themeColor="text1" w:themeTint="A6"/>
        </w:rPr>
      </w:pPr>
      <w:r>
        <w:rPr>
          <w:b/>
          <w:color w:val="595959" w:themeColor="text1" w:themeTint="A6"/>
        </w:rPr>
        <w:t>Christian Tulio, PharmD, MBA</w:t>
      </w:r>
    </w:p>
    <w:p w14:paraId="578F8DAB" w14:textId="77777777" w:rsidR="00283181" w:rsidRPr="00145C63" w:rsidRDefault="00283181" w:rsidP="00283181">
      <w:pPr>
        <w:rPr>
          <w:color w:val="595959" w:themeColor="text1" w:themeTint="A6"/>
        </w:rPr>
      </w:pPr>
      <w:r>
        <w:rPr>
          <w:color w:val="595959" w:themeColor="text1" w:themeTint="A6"/>
        </w:rPr>
        <w:t>PGY-1/MS1 Health-System Pharmacy Administration and Leadership Resident</w:t>
      </w:r>
    </w:p>
    <w:p w14:paraId="393AD0A2" w14:textId="77777777" w:rsidR="00283181" w:rsidRPr="00145C63" w:rsidRDefault="00283181" w:rsidP="00283181">
      <w:pPr>
        <w:rPr>
          <w:color w:val="595959" w:themeColor="text1" w:themeTint="A6"/>
        </w:rPr>
      </w:pPr>
      <w:r>
        <w:rPr>
          <w:color w:val="595959" w:themeColor="text1" w:themeTint="A6"/>
        </w:rPr>
        <w:t>The Ohio State University Wexner Medical Center</w:t>
      </w:r>
    </w:p>
    <w:p w14:paraId="0B0D8A21" w14:textId="77777777" w:rsidR="00CB449D" w:rsidRPr="00145C63" w:rsidRDefault="00CB449D" w:rsidP="00DD68D3">
      <w:pPr>
        <w:rPr>
          <w:color w:val="595959" w:themeColor="text1" w:themeTint="A6"/>
        </w:rPr>
      </w:pPr>
    </w:p>
    <w:p w14:paraId="30F378A1" w14:textId="2062A5D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B83C9C7" w14:textId="77777777" w:rsidR="00283181" w:rsidRPr="00145C63" w:rsidRDefault="00283181" w:rsidP="00283181">
      <w:pPr>
        <w:rPr>
          <w:b/>
          <w:color w:val="595959" w:themeColor="text1" w:themeTint="A6"/>
        </w:rPr>
      </w:pPr>
      <w:r>
        <w:rPr>
          <w:b/>
          <w:color w:val="595959" w:themeColor="text1" w:themeTint="A6"/>
        </w:rPr>
        <w:t>Sybil Thomas, PharmD, MBA</w:t>
      </w:r>
    </w:p>
    <w:p w14:paraId="59E07F4E" w14:textId="77777777" w:rsidR="00283181" w:rsidRPr="00145C63" w:rsidRDefault="00283181" w:rsidP="00283181">
      <w:pPr>
        <w:rPr>
          <w:color w:val="595959" w:themeColor="text1" w:themeTint="A6"/>
        </w:rPr>
      </w:pPr>
      <w:r>
        <w:rPr>
          <w:color w:val="595959" w:themeColor="text1" w:themeTint="A6"/>
        </w:rPr>
        <w:t>Senior Director, Pharmacy</w:t>
      </w:r>
    </w:p>
    <w:p w14:paraId="1480AD07" w14:textId="77777777" w:rsidR="00283181" w:rsidRPr="00145C63" w:rsidRDefault="00283181" w:rsidP="00283181">
      <w:pPr>
        <w:rPr>
          <w:color w:val="595959" w:themeColor="text1" w:themeTint="A6"/>
        </w:rPr>
      </w:pPr>
      <w:r>
        <w:rPr>
          <w:color w:val="595959" w:themeColor="text1" w:themeTint="A6"/>
        </w:rPr>
        <w:t>Vizient, Inc.</w:t>
      </w: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51B8E9C3" w:rsidR="00CB449D" w:rsidRPr="00145C63" w:rsidRDefault="00283181" w:rsidP="00DD68D3">
      <w:pPr>
        <w:rPr>
          <w:b/>
          <w:color w:val="595959" w:themeColor="text1" w:themeTint="A6"/>
        </w:rPr>
      </w:pPr>
      <w:r>
        <w:rPr>
          <w:b/>
          <w:color w:val="595959" w:themeColor="text1" w:themeTint="A6"/>
        </w:rPr>
        <w:t>Susan Wescott, RPh, MBA</w:t>
      </w:r>
    </w:p>
    <w:p w14:paraId="69E43666" w14:textId="316BAE2F" w:rsidR="00CB449D" w:rsidRPr="00145C63" w:rsidRDefault="00283181" w:rsidP="00DD68D3">
      <w:pPr>
        <w:rPr>
          <w:color w:val="595959" w:themeColor="text1" w:themeTint="A6"/>
        </w:rPr>
      </w:pPr>
      <w:r>
        <w:rPr>
          <w:color w:val="595959" w:themeColor="text1" w:themeTint="A6"/>
        </w:rPr>
        <w:t>Senior Director of Pharmacy, Managed Care</w:t>
      </w:r>
    </w:p>
    <w:p w14:paraId="7307E12F" w14:textId="52BA74A3" w:rsidR="00CB449D" w:rsidRPr="00145C63" w:rsidRDefault="00283181" w:rsidP="00DD68D3">
      <w:pPr>
        <w:rPr>
          <w:color w:val="595959" w:themeColor="text1" w:themeTint="A6"/>
        </w:rPr>
      </w:pPr>
      <w:r>
        <w:rPr>
          <w:color w:val="595959" w:themeColor="text1" w:themeTint="A6"/>
        </w:rPr>
        <w:t>Mayo Clinic</w:t>
      </w:r>
    </w:p>
    <w:p w14:paraId="1056CB21" w14:textId="77777777" w:rsidR="00CB449D" w:rsidRPr="00145C63" w:rsidRDefault="00CB449D" w:rsidP="00DD68D3">
      <w:pPr>
        <w:rPr>
          <w:color w:val="595959" w:themeColor="text1" w:themeTint="A6"/>
        </w:rPr>
      </w:pPr>
    </w:p>
    <w:p w14:paraId="6CBB589F" w14:textId="51E974EE" w:rsidR="00CB449D" w:rsidRPr="00145C63" w:rsidRDefault="00283181" w:rsidP="00DD68D3">
      <w:pPr>
        <w:rPr>
          <w:b/>
          <w:color w:val="595959" w:themeColor="text1" w:themeTint="A6"/>
        </w:rPr>
      </w:pPr>
      <w:r>
        <w:rPr>
          <w:b/>
          <w:color w:val="595959" w:themeColor="text1" w:themeTint="A6"/>
        </w:rPr>
        <w:t>Eric Tichy, PharmD, MBA</w:t>
      </w:r>
    </w:p>
    <w:p w14:paraId="6A43CF55" w14:textId="5911A3CD" w:rsidR="00CB449D" w:rsidRPr="00145C63" w:rsidRDefault="00283181" w:rsidP="00DD68D3">
      <w:pPr>
        <w:rPr>
          <w:color w:val="595959" w:themeColor="text1" w:themeTint="A6"/>
        </w:rPr>
      </w:pPr>
      <w:r>
        <w:rPr>
          <w:color w:val="595959" w:themeColor="text1" w:themeTint="A6"/>
        </w:rPr>
        <w:t>Vice Chair</w:t>
      </w:r>
    </w:p>
    <w:p w14:paraId="4675EE95" w14:textId="2CB891EA" w:rsidR="00CB449D" w:rsidRDefault="00283181" w:rsidP="00DD68D3">
      <w:pPr>
        <w:rPr>
          <w:color w:val="595959" w:themeColor="text1" w:themeTint="A6"/>
        </w:rPr>
      </w:pPr>
      <w:r>
        <w:rPr>
          <w:color w:val="595959" w:themeColor="text1" w:themeTint="A6"/>
        </w:rPr>
        <w:t>Mayo Clinic</w:t>
      </w:r>
    </w:p>
    <w:p w14:paraId="3FC28F61" w14:textId="2603601F" w:rsidR="00283181" w:rsidRDefault="00283181" w:rsidP="00DD68D3">
      <w:pPr>
        <w:rPr>
          <w:color w:val="595959" w:themeColor="text1" w:themeTint="A6"/>
        </w:rPr>
      </w:pPr>
    </w:p>
    <w:p w14:paraId="6A8B3D9B" w14:textId="6A8C4241" w:rsidR="00283181" w:rsidRPr="00283181" w:rsidRDefault="00283181" w:rsidP="00DD68D3">
      <w:pPr>
        <w:rPr>
          <w:b/>
          <w:bCs/>
          <w:color w:val="595959" w:themeColor="text1" w:themeTint="A6"/>
        </w:rPr>
      </w:pPr>
      <w:r w:rsidRPr="00283181">
        <w:rPr>
          <w:b/>
          <w:bCs/>
          <w:color w:val="595959" w:themeColor="text1" w:themeTint="A6"/>
        </w:rPr>
        <w:t>Lindsey Amerine, PharmD, MS, BCPS, FASHP</w:t>
      </w:r>
    </w:p>
    <w:p w14:paraId="21D69B1F" w14:textId="0604FB13" w:rsidR="00283181" w:rsidRDefault="00283181" w:rsidP="00DD68D3">
      <w:pPr>
        <w:rPr>
          <w:color w:val="595959" w:themeColor="text1" w:themeTint="A6"/>
        </w:rPr>
      </w:pPr>
      <w:r>
        <w:rPr>
          <w:color w:val="595959" w:themeColor="text1" w:themeTint="A6"/>
        </w:rPr>
        <w:t>Director of Pharmacy</w:t>
      </w:r>
    </w:p>
    <w:p w14:paraId="0820B563" w14:textId="1C796848" w:rsidR="00283181" w:rsidRPr="00145C63" w:rsidRDefault="00283181" w:rsidP="00DD68D3">
      <w:pPr>
        <w:rPr>
          <w:color w:val="595959" w:themeColor="text1" w:themeTint="A6"/>
        </w:rPr>
      </w:pPr>
      <w:r>
        <w:rPr>
          <w:color w:val="595959" w:themeColor="text1" w:themeTint="A6"/>
        </w:rPr>
        <w:t>UNC Health</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83181"/>
    <w:rsid w:val="0029361D"/>
    <w:rsid w:val="002A1481"/>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C2ED3"/>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3E67"/>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491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SourceDataModel Name="Computed" TargetDataSourceId="87651697-ca1f-4d80-9f69-bb743e325714"/>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UsageMapping/>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VariableListDefinition name="AD_HOC" displayName="AD_HOC" id="9426ea6f-1b24-4683-bca3-85d71f6375fd" isdomainofvalue="False" dataSourceId="80be7e5f-6e71-448c-9228-23264555308c"/>
</file>

<file path=customXml/item20.xml><?xml version="1.0" encoding="utf-8"?>
<SourceDataModel Name="System" TargetDataSourceId="00b80028-d226-4a39-9a19-6787589aad19"/>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VariableListDefinition name="Computed" displayName="Computed" id="69155e26-4760-488b-ab4c-bb15b0f8b2a2" isdomainofvalue="False" dataSourceId="87651697-ca1f-4d80-9f69-bb743e325714"/>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VariableListDefinition name="System" displayName="System" id="dc9731b4-d0d2-4ed5-b20d-434d69de1706" isdomainofvalue="False" dataSourceId="00b80028-d226-4a39-9a19-6787589aad19"/>
</file>

<file path=customXml/item26.xml><?xml version="1.0" encoding="utf-8"?>
<AllExternalAdhocVariableMappings/>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SourceDataModel Name="AD_HOC" TargetDataSourceId="80be7e5f-6e71-448c-9228-23264555308c"/>
</file>

<file path=customXml/item6.xml><?xml version="1.0" encoding="utf-8"?>
<DocPartTree/>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AllWordPDs>
</AllWordPDs>
</file>

<file path=customXml/item9.xml><?xml version="1.0" encoding="utf-8"?>
<AllMetadata/>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2021-04-12T16:04:00Z</dcterms:created>
  <dcterms:modified xsi:type="dcterms:W3CDTF">2021-04-12T18:10:00Z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