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8C52C8B" w14:textId="77777777" w:rsidR="007004E5" w:rsidRPr="002F274A" w:rsidRDefault="007004E5" w:rsidP="007004E5">
      <w:pPr>
        <w:pStyle w:val="Heading"/>
      </w:pPr>
      <w:r w:rsidRPr="002F274A">
        <w:t>Belatacept: Beyond the BENEFIT in Kidney Transplant Recipients</w:t>
      </w:r>
    </w:p>
    <w:p w14:paraId="0D0DC3CD" w14:textId="0C9E174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866A9">
        <w:rPr>
          <w:color w:val="595959" w:themeColor="text1" w:themeTint="A6"/>
        </w:rPr>
        <w:t>January 14, 2021</w:t>
      </w:r>
    </w:p>
    <w:p w14:paraId="641D3E3A" w14:textId="4046FD7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866A9">
        <w:rPr>
          <w:color w:val="595959" w:themeColor="text1" w:themeTint="A6"/>
        </w:rPr>
        <w:t>Bailey Wise,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17543E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82151">
        <w:rPr>
          <w:rFonts w:cs="Arial"/>
          <w:b/>
          <w:color w:val="595959" w:themeColor="text1" w:themeTint="A6"/>
          <w:szCs w:val="20"/>
        </w:rPr>
        <w:t>February 28,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2220E8A" w:rsidR="008730EB" w:rsidRPr="008730EB" w:rsidRDefault="00D82151"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F488F4F" w:rsidR="0035174D" w:rsidRPr="00145C63" w:rsidRDefault="00D8215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toxicities associated with maintenance immunosuppression warranting conversion to belatacept therapy</w:t>
      </w:r>
    </w:p>
    <w:p w14:paraId="193176A5" w14:textId="022686D1" w:rsidR="004A294A" w:rsidRPr="00145C63" w:rsidRDefault="00D8215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Summarize the unique mechanism of action association with belatacept</w:t>
      </w:r>
    </w:p>
    <w:p w14:paraId="19A14A12" w14:textId="514856E2" w:rsidR="004A294A" w:rsidRPr="00145C63" w:rsidRDefault="00D8215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available literature evaluating the use of belatacept conversion in kidney transplant recipients</w:t>
      </w:r>
    </w:p>
    <w:p w14:paraId="5BA35BDF" w14:textId="7732CADA" w:rsidR="0013180C" w:rsidRPr="00145C63" w:rsidRDefault="00D82151" w:rsidP="0013180C">
      <w:pPr>
        <w:pStyle w:val="ListParagraph"/>
        <w:numPr>
          <w:ilvl w:val="0"/>
          <w:numId w:val="40"/>
        </w:numPr>
        <w:ind w:left="360"/>
        <w:rPr>
          <w:color w:val="595959" w:themeColor="text1" w:themeTint="A6"/>
        </w:rPr>
      </w:pPr>
      <w:r>
        <w:rPr>
          <w:color w:val="595959" w:themeColor="text1" w:themeTint="A6"/>
        </w:rPr>
        <w:t>Design an alternative immunosuppression regimen utilizing belatacept therapy</w:t>
      </w:r>
    </w:p>
    <w:p w14:paraId="438FB914" w14:textId="77777777" w:rsidR="00AC7405" w:rsidRDefault="00AC7405" w:rsidP="001449C2">
      <w:pPr>
        <w:spacing w:after="120"/>
        <w:rPr>
          <w:rFonts w:cs="Arial"/>
          <w:b/>
          <w:color w:val="01ADAB"/>
          <w:sz w:val="24"/>
        </w:rPr>
      </w:pPr>
    </w:p>
    <w:p w14:paraId="7919CC1B" w14:textId="77777777" w:rsidR="00AC7405" w:rsidRDefault="00AC7405" w:rsidP="001449C2">
      <w:pPr>
        <w:spacing w:after="120"/>
        <w:rPr>
          <w:rFonts w:cs="Arial"/>
          <w:b/>
          <w:color w:val="01ADAB"/>
          <w:sz w:val="24"/>
        </w:rPr>
      </w:pPr>
    </w:p>
    <w:p w14:paraId="250850DB" w14:textId="7BBC125F"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249E0F5" w:rsidR="0013180C" w:rsidRPr="00145C63" w:rsidRDefault="00D82151"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common adverse effects of maintenance immunosuppressive medications</w:t>
      </w:r>
    </w:p>
    <w:p w14:paraId="25EBC96A" w14:textId="6F6FEAD9" w:rsidR="0013180C" w:rsidRPr="00145C63" w:rsidRDefault="00D82151"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Recognize the differences in dosage forms between belatacept and standard immunosuppressive therapy</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2D670B9"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D82151">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DD17F8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8215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82151">
        <w:rPr>
          <w:rFonts w:cs="Arial"/>
          <w:color w:val="595959" w:themeColor="text1" w:themeTint="A6"/>
        </w:rPr>
        <w:t>1</w:t>
      </w:r>
      <w:r w:rsidRPr="00145C63">
        <w:rPr>
          <w:rFonts w:cs="Arial"/>
          <w:color w:val="595959" w:themeColor="text1" w:themeTint="A6"/>
        </w:rPr>
        <w:t>-0</w:t>
      </w:r>
      <w:r w:rsidR="00D82151">
        <w:rPr>
          <w:rFonts w:cs="Arial"/>
          <w:color w:val="595959" w:themeColor="text1" w:themeTint="A6"/>
        </w:rPr>
        <w:t>7</w:t>
      </w:r>
      <w:r w:rsidR="006E326B">
        <w:rPr>
          <w:rFonts w:cs="Arial"/>
          <w:color w:val="595959" w:themeColor="text1" w:themeTint="A6"/>
        </w:rPr>
        <w:t>3</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16DD767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8215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D82151">
        <w:rPr>
          <w:rFonts w:cs="Arial"/>
          <w:color w:val="595959" w:themeColor="text1" w:themeTint="A6"/>
        </w:rPr>
        <w:t>1</w:t>
      </w:r>
      <w:r w:rsidRPr="00145C63">
        <w:rPr>
          <w:rFonts w:cs="Arial"/>
          <w:color w:val="595959" w:themeColor="text1" w:themeTint="A6"/>
        </w:rPr>
        <w:t>-0</w:t>
      </w:r>
      <w:r w:rsidR="00D82151">
        <w:rPr>
          <w:rFonts w:cs="Arial"/>
          <w:color w:val="595959" w:themeColor="text1" w:themeTint="A6"/>
        </w:rPr>
        <w:t>7</w:t>
      </w:r>
      <w:r w:rsidR="006E326B">
        <w:rPr>
          <w:rFonts w:cs="Arial"/>
          <w:color w:val="595959" w:themeColor="text1" w:themeTint="A6"/>
        </w:rPr>
        <w:t>3</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89716E9" w:rsidR="00CB449D" w:rsidRPr="00145C63" w:rsidRDefault="00D82151" w:rsidP="00DD68D3">
      <w:pPr>
        <w:rPr>
          <w:b/>
          <w:color w:val="595959" w:themeColor="text1" w:themeTint="A6"/>
        </w:rPr>
      </w:pPr>
      <w:r>
        <w:rPr>
          <w:b/>
          <w:color w:val="595959" w:themeColor="text1" w:themeTint="A6"/>
        </w:rPr>
        <w:t>Bailey Wise, PharmD, BCPS</w:t>
      </w:r>
    </w:p>
    <w:p w14:paraId="529DCE50" w14:textId="405F5DEF" w:rsidR="00CB449D" w:rsidRPr="00145C63" w:rsidRDefault="00D82151" w:rsidP="00DD68D3">
      <w:pPr>
        <w:rPr>
          <w:color w:val="595959" w:themeColor="text1" w:themeTint="A6"/>
        </w:rPr>
      </w:pPr>
      <w:r>
        <w:rPr>
          <w:color w:val="595959" w:themeColor="text1" w:themeTint="A6"/>
        </w:rPr>
        <w:t xml:space="preserve">Clinical </w:t>
      </w:r>
      <w:r w:rsidR="00AC7405">
        <w:rPr>
          <w:color w:val="595959" w:themeColor="text1" w:themeTint="A6"/>
        </w:rPr>
        <w:t>Pharmacist</w:t>
      </w:r>
    </w:p>
    <w:p w14:paraId="0B00B718" w14:textId="3F010EBC" w:rsidR="00CB449D" w:rsidRPr="00145C63" w:rsidRDefault="00D82151"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621D24B6" w:rsidR="00CB449D" w:rsidRPr="00145C63" w:rsidRDefault="00D82151" w:rsidP="00DD68D3">
      <w:pPr>
        <w:rPr>
          <w:b/>
          <w:color w:val="595959" w:themeColor="text1" w:themeTint="A6"/>
        </w:rPr>
      </w:pPr>
      <w:r>
        <w:rPr>
          <w:b/>
          <w:color w:val="595959" w:themeColor="text1" w:themeTint="A6"/>
        </w:rPr>
        <w:t>Marissa Janusek, PharmD, BCPS</w:t>
      </w:r>
    </w:p>
    <w:p w14:paraId="673A5E27" w14:textId="77777777" w:rsidR="00D82151" w:rsidRPr="00145C63" w:rsidRDefault="00D82151" w:rsidP="00D82151">
      <w:pPr>
        <w:rPr>
          <w:color w:val="595959" w:themeColor="text1" w:themeTint="A6"/>
        </w:rPr>
      </w:pPr>
      <w:r>
        <w:rPr>
          <w:color w:val="595959" w:themeColor="text1" w:themeTint="A6"/>
        </w:rPr>
        <w:t>Abdominal Transplant Clinical Specialist</w:t>
      </w:r>
    </w:p>
    <w:p w14:paraId="453AE891" w14:textId="77777777" w:rsidR="00D82151" w:rsidRPr="00145C63" w:rsidRDefault="00D82151" w:rsidP="00D82151">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7FF8D9D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29A0308" w14:textId="77777777" w:rsidR="00D82151" w:rsidRPr="00266041" w:rsidRDefault="00D82151" w:rsidP="00D82151">
      <w:pPr>
        <w:rPr>
          <w:rFonts w:cs="Arial"/>
          <w:b/>
          <w:color w:val="595959" w:themeColor="text1" w:themeTint="A6"/>
        </w:rPr>
      </w:pPr>
      <w:r w:rsidRPr="00266041">
        <w:rPr>
          <w:rFonts w:cs="Arial"/>
          <w:b/>
          <w:color w:val="595959" w:themeColor="text1" w:themeTint="A6"/>
          <w:szCs w:val="20"/>
        </w:rPr>
        <w:t>James Lichauer, PharmD, BCPS, FASHP</w:t>
      </w:r>
    </w:p>
    <w:p w14:paraId="3972F9DC" w14:textId="77777777" w:rsidR="00D82151" w:rsidRPr="00266041" w:rsidRDefault="00D82151" w:rsidP="00D82151">
      <w:pPr>
        <w:rPr>
          <w:rFonts w:cs="Arial"/>
          <w:color w:val="595959" w:themeColor="text1" w:themeTint="A6"/>
        </w:rPr>
      </w:pPr>
      <w:r w:rsidRPr="00266041">
        <w:rPr>
          <w:rFonts w:cs="Arial"/>
          <w:color w:val="595959" w:themeColor="text1" w:themeTint="A6"/>
        </w:rPr>
        <w:t>PI Program Director, Pharmacy</w:t>
      </w:r>
    </w:p>
    <w:p w14:paraId="0AE8505B" w14:textId="77777777" w:rsidR="00D82151" w:rsidRDefault="00D82151" w:rsidP="00D82151">
      <w:pPr>
        <w:rPr>
          <w:rFonts w:cs="Arial"/>
          <w:color w:val="595959" w:themeColor="text1" w:themeTint="A6"/>
        </w:rPr>
      </w:pPr>
      <w:r w:rsidRPr="00266041">
        <w:rPr>
          <w:rFonts w:cs="Arial"/>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20E00F5D"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B8C8E9D" w:rsidR="00CB449D" w:rsidRPr="00145C63" w:rsidRDefault="00D82151" w:rsidP="00DD68D3">
      <w:pPr>
        <w:rPr>
          <w:b/>
          <w:color w:val="595959" w:themeColor="text1" w:themeTint="A6"/>
        </w:rPr>
      </w:pPr>
      <w:r>
        <w:rPr>
          <w:b/>
          <w:color w:val="595959" w:themeColor="text1" w:themeTint="A6"/>
        </w:rPr>
        <w:t>Bethany Lane, PharmD</w:t>
      </w:r>
    </w:p>
    <w:p w14:paraId="69E43666" w14:textId="2AA3162D" w:rsidR="00CB449D" w:rsidRPr="00145C63" w:rsidRDefault="00D82151" w:rsidP="00DD68D3">
      <w:pPr>
        <w:rPr>
          <w:color w:val="595959" w:themeColor="text1" w:themeTint="A6"/>
        </w:rPr>
      </w:pPr>
      <w:r>
        <w:rPr>
          <w:color w:val="595959" w:themeColor="text1" w:themeTint="A6"/>
        </w:rPr>
        <w:t>PGY2 Solid Organ Transplant Resident</w:t>
      </w:r>
    </w:p>
    <w:p w14:paraId="24F2A246" w14:textId="77777777" w:rsidR="00D82151" w:rsidRPr="00145C63" w:rsidRDefault="00D82151" w:rsidP="00D82151">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866A9"/>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26B"/>
    <w:rsid w:val="006E3F56"/>
    <w:rsid w:val="006F020F"/>
    <w:rsid w:val="006F1E6D"/>
    <w:rsid w:val="007004E5"/>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405"/>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2151"/>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AC7405"/>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2020-12-17T22:03:00Z</dcterms:created>
  <dcterms:modified xsi:type="dcterms:W3CDTF">2020-12-18T14:21:00Z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