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3263BD45" w:rsidR="00ED6AE4" w:rsidRPr="008B1CED" w:rsidRDefault="00973BFC" w:rsidP="00ED6AE4">
      <w:pPr>
        <w:pStyle w:val="Heading"/>
      </w:pPr>
      <w:r>
        <w:t>Aminoglycoside Guidelines and Pharmacist-to-Dose Policy for Adult Patients</w:t>
      </w:r>
    </w:p>
    <w:p w14:paraId="0D0DC3CD" w14:textId="21C1676D"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973BFC">
        <w:rPr>
          <w:color w:val="595959" w:themeColor="text1" w:themeTint="A6"/>
        </w:rPr>
        <w:t>October 13, 2021</w:t>
      </w:r>
    </w:p>
    <w:p w14:paraId="641D3E3A" w14:textId="26007F60"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973BFC">
        <w:rPr>
          <w:color w:val="595959" w:themeColor="text1" w:themeTint="A6"/>
        </w:rPr>
        <w:t>Linda Thomas</w:t>
      </w:r>
    </w:p>
    <w:p w14:paraId="305ED2BD" w14:textId="77777777" w:rsidR="00664C72" w:rsidRDefault="00664C72" w:rsidP="008730EB">
      <w:pPr>
        <w:spacing w:line="276" w:lineRule="auto"/>
        <w:rPr>
          <w:rFonts w:cs="Arial"/>
          <w:color w:val="595959" w:themeColor="text1" w:themeTint="A6"/>
          <w:szCs w:val="20"/>
        </w:rPr>
      </w:pPr>
    </w:p>
    <w:p w14:paraId="50E91E19" w14:textId="5414787A"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10FFF1B2"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13180C" w:rsidRPr="00D13F13">
        <w:rPr>
          <w:rFonts w:cs="Arial"/>
          <w:b/>
          <w:color w:val="595959" w:themeColor="text1" w:themeTint="A6"/>
          <w:szCs w:val="20"/>
        </w:rPr>
        <w:t>D</w:t>
      </w:r>
      <w:r w:rsidR="00973BFC">
        <w:rPr>
          <w:rFonts w:cs="Arial"/>
          <w:b/>
          <w:color w:val="595959" w:themeColor="text1" w:themeTint="A6"/>
          <w:szCs w:val="20"/>
        </w:rPr>
        <w:t>ecember 7, 2021</w:t>
      </w:r>
      <w:r w:rsidR="00BE7633">
        <w:rPr>
          <w:rFonts w:cs="Arial"/>
          <w:b/>
          <w:color w:val="595959" w:themeColor="text1" w:themeTint="A6"/>
          <w:szCs w:val="20"/>
        </w:rPr>
        <w:t>.</w:t>
      </w:r>
    </w:p>
    <w:p w14:paraId="499319BA" w14:textId="77777777" w:rsidR="008730EB" w:rsidRPr="000211DF" w:rsidRDefault="008730EB" w:rsidP="008730EB">
      <w:pPr>
        <w:rPr>
          <w:rFonts w:cs="Arial"/>
          <w:szCs w:val="20"/>
        </w:rPr>
      </w:pPr>
    </w:p>
    <w:p w14:paraId="2B4ECF29" w14:textId="0E8E66BB" w:rsidR="008730EB" w:rsidRPr="008730EB" w:rsidRDefault="008730EB" w:rsidP="008730EB">
      <w:pPr>
        <w:spacing w:after="120"/>
        <w:rPr>
          <w:rFonts w:cs="Arial"/>
          <w:b/>
          <w:color w:val="01ADAB"/>
          <w:sz w:val="24"/>
        </w:rPr>
      </w:pPr>
      <w:bookmarkStart w:id="0" w:name="_Hlk55995152"/>
      <w:r w:rsidRPr="008730EB">
        <w:rPr>
          <w:rFonts w:cs="Arial"/>
          <w:b/>
          <w:color w:val="01ADAB"/>
          <w:sz w:val="24"/>
        </w:rPr>
        <w:t>Important note for pharmacists</w:t>
      </w:r>
    </w:p>
    <w:p w14:paraId="096E2287" w14:textId="7E1185DE"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All credit awarded to pharmacists</w:t>
      </w:r>
      <w:r w:rsidR="007641EF">
        <w:rPr>
          <w:rFonts w:cs="Arial"/>
          <w:color w:val="595959" w:themeColor="text1" w:themeTint="A6"/>
        </w:rPr>
        <w:t xml:space="preserve">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submission. Pharmacists</w:t>
      </w:r>
      <w:r w:rsidR="007641EF">
        <w:rPr>
          <w:rFonts w:cs="Arial"/>
          <w:color w:val="595959" w:themeColor="text1" w:themeTint="A6"/>
        </w:rPr>
        <w:t xml:space="preserve">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0"/>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384E954E" w14:textId="77777777" w:rsidR="00664C72" w:rsidRPr="00664C72" w:rsidRDefault="00664C72" w:rsidP="00664C72">
      <w:pPr>
        <w:pStyle w:val="ListParagraph"/>
        <w:numPr>
          <w:ilvl w:val="0"/>
          <w:numId w:val="40"/>
        </w:numPr>
        <w:ind w:left="360"/>
        <w:rPr>
          <w:rFonts w:asciiTheme="minorHAnsi" w:eastAsia="Calibri" w:hAnsiTheme="minorHAnsi" w:cstheme="minorHAnsi"/>
          <w:color w:val="696969" w:themeColor="text2"/>
          <w:szCs w:val="20"/>
        </w:rPr>
      </w:pPr>
      <w:r w:rsidRPr="00664C72">
        <w:rPr>
          <w:rFonts w:asciiTheme="minorHAnsi" w:eastAsia="Calibri" w:hAnsiTheme="minorHAnsi" w:cstheme="minorHAnsi"/>
          <w:color w:val="696969" w:themeColor="text2"/>
          <w:szCs w:val="20"/>
        </w:rPr>
        <w:t>Demonstrate methods for determining the initial dose and frequency of extended-interval, critically-ill, and other aminoglycoside dosing strategies.</w:t>
      </w:r>
    </w:p>
    <w:p w14:paraId="452FE011" w14:textId="77777777" w:rsidR="00664C72" w:rsidRPr="00664C72" w:rsidRDefault="00664C72" w:rsidP="00664C72">
      <w:pPr>
        <w:pStyle w:val="ListParagraph"/>
        <w:numPr>
          <w:ilvl w:val="0"/>
          <w:numId w:val="40"/>
        </w:numPr>
        <w:ind w:left="360"/>
        <w:rPr>
          <w:rFonts w:asciiTheme="minorHAnsi" w:eastAsia="Calibri" w:hAnsiTheme="minorHAnsi" w:cstheme="minorHAnsi"/>
          <w:color w:val="696969" w:themeColor="text2"/>
          <w:szCs w:val="20"/>
        </w:rPr>
      </w:pPr>
      <w:r w:rsidRPr="00664C72">
        <w:rPr>
          <w:rFonts w:asciiTheme="minorHAnsi" w:eastAsia="Calibri" w:hAnsiTheme="minorHAnsi" w:cstheme="minorHAnsi"/>
          <w:color w:val="696969" w:themeColor="text2"/>
          <w:szCs w:val="20"/>
        </w:rPr>
        <w:t>Use appropriate monitoring strategies, including pharmacokinetic calculations, for extended-interval, conventional, and critically-ill aminoglycoside dosing strategies.</w:t>
      </w:r>
    </w:p>
    <w:p w14:paraId="1B7CAE25" w14:textId="4C84F503" w:rsidR="0035174D" w:rsidRPr="00145C63" w:rsidRDefault="00664C72" w:rsidP="005C5387">
      <w:pPr>
        <w:pStyle w:val="ListParagraph"/>
        <w:numPr>
          <w:ilvl w:val="0"/>
          <w:numId w:val="40"/>
        </w:numPr>
        <w:ind w:left="360"/>
        <w:rPr>
          <w:rFonts w:eastAsia="Calibri" w:cs="Arial"/>
          <w:i/>
          <w:color w:val="595959" w:themeColor="text1" w:themeTint="A6"/>
          <w:szCs w:val="20"/>
        </w:rPr>
      </w:pPr>
      <w:r>
        <w:rPr>
          <w:rFonts w:asciiTheme="minorHAnsi" w:eastAsia="Calibri" w:hAnsiTheme="minorHAnsi" w:cstheme="minorHAnsi"/>
          <w:color w:val="696969" w:themeColor="text2"/>
          <w:szCs w:val="20"/>
        </w:rPr>
        <w:t>Review</w:t>
      </w:r>
      <w:r w:rsidRPr="00F365D7">
        <w:rPr>
          <w:rFonts w:asciiTheme="minorHAnsi" w:eastAsia="Calibri" w:hAnsiTheme="minorHAnsi" w:cstheme="minorHAnsi"/>
          <w:color w:val="696969" w:themeColor="text2"/>
          <w:szCs w:val="20"/>
        </w:rPr>
        <w:t xml:space="preserve"> the pharmacists’ role and responsibilities when consulted to dose and monitor aminoglycoside therapy in adult patients</w:t>
      </w:r>
      <w:r>
        <w:rPr>
          <w:rFonts w:asciiTheme="minorHAnsi" w:eastAsia="Calibri" w:hAnsiTheme="minorHAnsi" w:cstheme="minorHAnsi"/>
          <w:color w:val="696969" w:themeColor="text2"/>
          <w:szCs w:val="20"/>
        </w:rPr>
        <w:t>.</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547C0058"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664C72">
        <w:rPr>
          <w:rFonts w:cs="Arial"/>
          <w:color w:val="595959" w:themeColor="text1" w:themeTint="A6"/>
        </w:rPr>
        <w:t>University of Rochester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43FD477D"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664C72">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664C72">
        <w:rPr>
          <w:rFonts w:cs="Arial"/>
          <w:color w:val="595959" w:themeColor="text1" w:themeTint="A6"/>
        </w:rPr>
        <w:t>189</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49B2B48D" w:rsidR="00CB449D" w:rsidRPr="00145C63" w:rsidRDefault="00664C72" w:rsidP="00DD68D3">
      <w:pPr>
        <w:rPr>
          <w:b/>
          <w:color w:val="595959" w:themeColor="text1" w:themeTint="A6"/>
        </w:rPr>
      </w:pPr>
      <w:r>
        <w:rPr>
          <w:b/>
          <w:color w:val="595959" w:themeColor="text1" w:themeTint="A6"/>
        </w:rPr>
        <w:t>Linda Thomas, PharmD, BCPS</w:t>
      </w:r>
    </w:p>
    <w:p w14:paraId="529DCE50" w14:textId="76B59F5A" w:rsidR="00CB449D" w:rsidRPr="00145C63" w:rsidRDefault="00664C72" w:rsidP="00DD68D3">
      <w:pPr>
        <w:rPr>
          <w:color w:val="595959" w:themeColor="text1" w:themeTint="A6"/>
        </w:rPr>
      </w:pPr>
      <w:r>
        <w:rPr>
          <w:color w:val="595959" w:themeColor="text1" w:themeTint="A6"/>
        </w:rPr>
        <w:t>Pharmacy Residency Coordinator</w:t>
      </w:r>
    </w:p>
    <w:p w14:paraId="0B00B718" w14:textId="4D93A153" w:rsidR="00CB449D" w:rsidRPr="00145C63" w:rsidRDefault="00664C72" w:rsidP="00DD68D3">
      <w:pPr>
        <w:rPr>
          <w:color w:val="595959" w:themeColor="text1" w:themeTint="A6"/>
        </w:rPr>
      </w:pPr>
      <w:r>
        <w:rPr>
          <w:color w:val="595959" w:themeColor="text1" w:themeTint="A6"/>
        </w:rPr>
        <w:t>University of Rochester Medical Center</w:t>
      </w:r>
    </w:p>
    <w:p w14:paraId="357CDA01" w14:textId="77777777" w:rsidR="00CB449D" w:rsidRPr="00CB449D" w:rsidRDefault="00CB449D" w:rsidP="00DD68D3">
      <w:pPr>
        <w:rPr>
          <w:color w:val="7F7F7F" w:themeColor="text1" w:themeTint="80"/>
        </w:rPr>
      </w:pPr>
    </w:p>
    <w:p w14:paraId="11C41A61" w14:textId="20903C20" w:rsidR="00CB449D" w:rsidRPr="00145C63" w:rsidRDefault="00664C72" w:rsidP="00DD68D3">
      <w:pPr>
        <w:rPr>
          <w:b/>
          <w:color w:val="595959" w:themeColor="text1" w:themeTint="A6"/>
        </w:rPr>
      </w:pPr>
      <w:r>
        <w:rPr>
          <w:b/>
          <w:color w:val="595959" w:themeColor="text1" w:themeTint="A6"/>
        </w:rPr>
        <w:t xml:space="preserve">Kelly </w:t>
      </w:r>
      <w:proofErr w:type="spellStart"/>
      <w:r>
        <w:rPr>
          <w:b/>
          <w:color w:val="595959" w:themeColor="text1" w:themeTint="A6"/>
        </w:rPr>
        <w:t>Pillinger</w:t>
      </w:r>
      <w:proofErr w:type="spellEnd"/>
      <w:r>
        <w:rPr>
          <w:b/>
          <w:color w:val="595959" w:themeColor="text1" w:themeTint="A6"/>
        </w:rPr>
        <w:t>, PharmD, BCPS, BCIDP</w:t>
      </w:r>
    </w:p>
    <w:p w14:paraId="2B34AFB1" w14:textId="1E8AF3C1" w:rsidR="00CB449D" w:rsidRPr="00145C63" w:rsidRDefault="00664C72" w:rsidP="00DD68D3">
      <w:pPr>
        <w:rPr>
          <w:color w:val="595959" w:themeColor="text1" w:themeTint="A6"/>
        </w:rPr>
      </w:pPr>
      <w:r>
        <w:rPr>
          <w:color w:val="595959" w:themeColor="text1" w:themeTint="A6"/>
        </w:rPr>
        <w:t>Infectious Diseases Clinical Pharmacy Specialist</w:t>
      </w:r>
    </w:p>
    <w:p w14:paraId="28E80EAC" w14:textId="77777777" w:rsidR="00664C72" w:rsidRPr="00145C63" w:rsidRDefault="00664C72" w:rsidP="00664C72">
      <w:pPr>
        <w:rPr>
          <w:color w:val="595959" w:themeColor="text1" w:themeTint="A6"/>
        </w:rPr>
      </w:pPr>
      <w:r>
        <w:rPr>
          <w:color w:val="595959" w:themeColor="text1" w:themeTint="A6"/>
        </w:rPr>
        <w:t>University of Rochester Medical Center</w:t>
      </w:r>
    </w:p>
    <w:p w14:paraId="2E4B3623" w14:textId="77777777" w:rsidR="00CB449D" w:rsidRPr="00145C63" w:rsidRDefault="00CB449D" w:rsidP="00DD68D3">
      <w:pPr>
        <w:rPr>
          <w:color w:val="595959" w:themeColor="text1" w:themeTint="A6"/>
        </w:rPr>
      </w:pPr>
    </w:p>
    <w:p w14:paraId="2178C392" w14:textId="77777777" w:rsidR="00CB449D" w:rsidRDefault="00CB449D" w:rsidP="00DD68D3"/>
    <w:p w14:paraId="30F378A1" w14:textId="6591983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12FC8914" w14:textId="77777777" w:rsidR="00664C72" w:rsidRPr="00A872A1" w:rsidRDefault="00664C72" w:rsidP="00664C72">
      <w:pPr>
        <w:rPr>
          <w:rFonts w:cs="Arial"/>
          <w:b/>
          <w:color w:val="595959" w:themeColor="text1" w:themeTint="A6"/>
        </w:rPr>
      </w:pPr>
      <w:r w:rsidRPr="00A872A1">
        <w:rPr>
          <w:rFonts w:cs="Arial"/>
          <w:b/>
          <w:color w:val="595959" w:themeColor="text1" w:themeTint="A6"/>
        </w:rPr>
        <w:t>Gretchen Brummel, PharmD, BCPS</w:t>
      </w:r>
    </w:p>
    <w:p w14:paraId="7D238573" w14:textId="77777777" w:rsidR="00664C72" w:rsidRDefault="00664C72" w:rsidP="00664C72">
      <w:pPr>
        <w:rPr>
          <w:rFonts w:cs="Arial"/>
          <w:color w:val="595959" w:themeColor="text1" w:themeTint="A6"/>
        </w:rPr>
      </w:pPr>
      <w:r>
        <w:rPr>
          <w:rFonts w:cs="Arial"/>
          <w:color w:val="595959" w:themeColor="text1" w:themeTint="A6"/>
        </w:rPr>
        <w:t>Consulting Director, Pharmacy</w:t>
      </w:r>
    </w:p>
    <w:p w14:paraId="56C38E07" w14:textId="77777777" w:rsidR="00664C72" w:rsidRPr="00266041" w:rsidRDefault="00664C72" w:rsidP="00664C72">
      <w:pPr>
        <w:rPr>
          <w:rFonts w:cs="Arial"/>
          <w:color w:val="595959" w:themeColor="text1" w:themeTint="A6"/>
        </w:rPr>
      </w:pPr>
      <w:r>
        <w:rPr>
          <w:rFonts w:cs="Arial"/>
          <w:color w:val="595959" w:themeColor="text1" w:themeTint="A6"/>
        </w:rPr>
        <w:t>Vizient, Inc.</w:t>
      </w:r>
    </w:p>
    <w:p w14:paraId="21C46B0A" w14:textId="77777777" w:rsidR="00CB449D" w:rsidRPr="00145C63" w:rsidRDefault="00CB449D" w:rsidP="00DD68D3">
      <w:pPr>
        <w:rPr>
          <w:color w:val="595959" w:themeColor="text1" w:themeTint="A6"/>
        </w:rPr>
      </w:pPr>
    </w:p>
    <w:p w14:paraId="7E02880C" w14:textId="6176E13B"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1A38B847" w14:textId="77777777" w:rsidR="00664C72" w:rsidRPr="00145C63" w:rsidRDefault="00664C72" w:rsidP="00664C72">
      <w:pPr>
        <w:rPr>
          <w:b/>
          <w:color w:val="595959" w:themeColor="text1" w:themeTint="A6"/>
        </w:rPr>
      </w:pPr>
      <w:r>
        <w:rPr>
          <w:b/>
          <w:color w:val="595959" w:themeColor="text1" w:themeTint="A6"/>
        </w:rPr>
        <w:t xml:space="preserve">Kelly </w:t>
      </w:r>
      <w:proofErr w:type="spellStart"/>
      <w:r>
        <w:rPr>
          <w:b/>
          <w:color w:val="595959" w:themeColor="text1" w:themeTint="A6"/>
        </w:rPr>
        <w:t>Pillinger</w:t>
      </w:r>
      <w:proofErr w:type="spellEnd"/>
      <w:r>
        <w:rPr>
          <w:b/>
          <w:color w:val="595959" w:themeColor="text1" w:themeTint="A6"/>
        </w:rPr>
        <w:t>, PharmD, BCPS, BCIDP</w:t>
      </w:r>
    </w:p>
    <w:p w14:paraId="0D024BBF" w14:textId="77777777" w:rsidR="00664C72" w:rsidRPr="00145C63" w:rsidRDefault="00664C72" w:rsidP="00664C72">
      <w:pPr>
        <w:rPr>
          <w:color w:val="595959" w:themeColor="text1" w:themeTint="A6"/>
        </w:rPr>
      </w:pPr>
      <w:r>
        <w:rPr>
          <w:color w:val="595959" w:themeColor="text1" w:themeTint="A6"/>
        </w:rPr>
        <w:t>Infectious Diseases Clinical Pharmacy Specialist</w:t>
      </w:r>
    </w:p>
    <w:p w14:paraId="2C208A99" w14:textId="77777777" w:rsidR="00664C72" w:rsidRPr="00145C63" w:rsidRDefault="00664C72" w:rsidP="00664C72">
      <w:pPr>
        <w:rPr>
          <w:color w:val="595959" w:themeColor="text1" w:themeTint="A6"/>
        </w:rPr>
      </w:pPr>
      <w:r>
        <w:rPr>
          <w:color w:val="595959" w:themeColor="text1" w:themeTint="A6"/>
        </w:rPr>
        <w:t>University of Rochester Medical Center</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attachedTemplate r:id="rId1"/>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64C72"/>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73BFC"/>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0.xml><?xml version="1.0" encoding="utf-8"?>
<DataSourceInfo>
  <Id>00b80028-d226-4a39-9a19-6787589aad19</Id>
  <MajorVersion>0</MajorVersion>
  <MinorVersion>1</MinorVersion>
  <DataSourceType>System</DataSourceType>
  <Name>System</Name>
  <Description/>
  <Filter/>
  <DataFields/>
</DataSourceInfo>
</file>

<file path=customXml/item11.xml><?xml version="1.0" encoding="utf-8"?>
<VariableListDefinition name="AD_HOC" displayName="AD_HOC" id="9426ea6f-1b24-4683-bca3-85d71f6375fd" isdomainofvalue="False" dataSourceId="80be7e5f-6e71-448c-9228-23264555308c"/>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mso-contentType ?>
<SharedContentType xmlns="Microsoft.SharePoint.Taxonomy.ContentTypeSync" SourceId="c9bec5de-3132-4daf-ae55-1613447ae162" ContentTypeId="0x0101003892C1470B32FA4ABADA805F9A36FDE40106" PreviousValue="false"/>
</file>

<file path=customXml/item1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5.xml><?xml version="1.0" encoding="utf-8"?>
<AllMetadata/>
</file>

<file path=customXml/item1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DocPartTree/>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0.xml><?xml version="1.0" encoding="utf-8"?>
<SourceDataModel Name="AD_HOC" TargetDataSourceId="80be7e5f-6e71-448c-9228-23264555308c"/>
</file>

<file path=customXml/item21.xml><?xml version="1.0" encoding="utf-8"?>
<DataSourceInfo>
  <Id>87651697-ca1f-4d80-9f69-bb743e325714</Id>
  <MajorVersion>0</MajorVersion>
  <MinorVersion>1</MinorVersion>
  <DataSourceType>Expression</DataSourceType>
  <Name>Computed</Name>
  <Description/>
  <Filter/>
  <DataFields/>
</DataSourceInfo>
</file>

<file path=customXml/item22.xml><?xml version="1.0" encoding="utf-8"?>
<VariableListDefinition name="System" displayName="System" id="dc9731b4-d0d2-4ed5-b20d-434d69de1706" isdomainofvalue="False" dataSourceId="00b80028-d226-4a39-9a19-6787589aad19"/>
</file>

<file path=customXml/item23.xml><?xml version="1.0" encoding="utf-8"?>
<SourceDataModel Name="System" TargetDataSourceId="00b80028-d226-4a39-9a19-6787589aad19"/>
</file>

<file path=customXml/item24.xml><?xml version="1.0" encoding="utf-8"?>
<AllWordPDs>
</AllWordPD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3.xml><?xml version="1.0" encoding="utf-8"?>
<VariableUsageMapping/>
</file>

<file path=customXml/item4.xml><?xml version="1.0" encoding="utf-8"?>
<AllExternalAdhocVariableMappings/>
</file>

<file path=customXml/item5.xml><?xml version="1.0" encoding="utf-8"?>
<SourceDataModel Name="Computed" TargetDataSourceId="87651697-ca1f-4d80-9f69-bb743e325714"/>
</file>

<file path=customXml/item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VariableListDefinition name="Computed" displayName="Computed" id="69155e26-4760-488b-ab4c-bb15b0f8b2a2" isdomainofvalue="False" dataSourceId="87651697-ca1f-4d80-9f69-bb743e325714"/>
</file>

<file path=customXml/itemProps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0.xml><?xml version="1.0" encoding="utf-8"?>
<ds:datastoreItem xmlns:ds="http://schemas.openxmlformats.org/officeDocument/2006/customXml" ds:itemID="{7CA12843-4DEB-4A4D-9869-29F66BB28D05}">
  <ds:schemaRefs/>
</ds:datastoreItem>
</file>

<file path=customXml/itemProps11.xml><?xml version="1.0" encoding="utf-8"?>
<ds:datastoreItem xmlns:ds="http://schemas.openxmlformats.org/officeDocument/2006/customXml" ds:itemID="{1D690A50-E3B4-44F5-A4C5-75EEC88CF4EC}">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4.xml><?xml version="1.0" encoding="utf-8"?>
<ds:datastoreItem xmlns:ds="http://schemas.openxmlformats.org/officeDocument/2006/customXml" ds:itemID="{0510B9D0-C027-45D1-B797-FA865004CBBF}">
  <ds:schemaRefs/>
</ds:datastoreItem>
</file>

<file path=customXml/itemProps15.xml><?xml version="1.0" encoding="utf-8"?>
<ds:datastoreItem xmlns:ds="http://schemas.openxmlformats.org/officeDocument/2006/customXml" ds:itemID="{A613EE9C-F5E0-4282-839C-53FE8976D615}">
  <ds:schemaRefs/>
</ds:datastoreItem>
</file>

<file path=customXml/itemProps1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0D4A98D7-A056-4A12-A949-9E2EE5A35FE4}">
  <ds:schemaRefs/>
</ds:datastoreItem>
</file>

<file path=customXml/itemProps18.xml><?xml version="1.0" encoding="utf-8"?>
<ds:datastoreItem xmlns:ds="http://schemas.openxmlformats.org/officeDocument/2006/customXml" ds:itemID="{54E4ECD0-5730-4CBC-B5C8-CDD180BD053A}">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BDDC9A50-D520-4DBB-861E-17850ECDD206}">
  <ds:schemaRefs/>
</ds:datastoreItem>
</file>

<file path=customXml/itemProps20.xml><?xml version="1.0" encoding="utf-8"?>
<ds:datastoreItem xmlns:ds="http://schemas.openxmlformats.org/officeDocument/2006/customXml" ds:itemID="{D44D0B5A-EC6D-4AEA-A833-02344E0C6DB2}">
  <ds:schemaRefs/>
</ds:datastoreItem>
</file>

<file path=customXml/itemProps21.xml><?xml version="1.0" encoding="utf-8"?>
<ds:datastoreItem xmlns:ds="http://schemas.openxmlformats.org/officeDocument/2006/customXml" ds:itemID="{83B1EF68-4D55-4397-AF73-D916BC2254F0}">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6.xml><?xml version="1.0" encoding="utf-8"?>
<ds:datastoreItem xmlns:ds="http://schemas.openxmlformats.org/officeDocument/2006/customXml" ds:itemID="{C4AEAB29-4929-45AF-A192-84C4D708764D}">
  <ds:schemaRefs/>
</ds:datastoreItem>
</file>

<file path=customXml/itemProps27.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7B773B23-CD27-407C-8EF7-714316C2ACF2}">
  <ds:schemaRefs/>
</ds:datastoreItem>
</file>

<file path=customXml/itemProps5.xml><?xml version="1.0" encoding="utf-8"?>
<ds:datastoreItem xmlns:ds="http://schemas.openxmlformats.org/officeDocument/2006/customXml" ds:itemID="{4C134B16-2CC0-4F00-BAB8-0BCCEF3E9F16}">
  <ds:schemaRefs/>
</ds:datastoreItem>
</file>

<file path=customXml/itemProps6.xml><?xml version="1.0" encoding="utf-8"?>
<ds:datastoreItem xmlns:ds="http://schemas.openxmlformats.org/officeDocument/2006/customXml" ds:itemID="{BEAFDBBE-0F51-4017-B707-8386C7FBABFD}">
  <ds:schemaRefs/>
</ds:datastoreItem>
</file>

<file path=customXml/itemProps7.xml><?xml version="1.0" encoding="utf-8"?>
<ds:datastoreItem xmlns:ds="http://schemas.openxmlformats.org/officeDocument/2006/customXml" ds:itemID="{5B401B9D-B553-4B56-A34A-971673CC9681}">
  <ds:schemaRefs/>
</ds:datastoreItem>
</file>

<file path=customXml/itemProps8.xml><?xml version="1.0" encoding="utf-8"?>
<ds:datastoreItem xmlns:ds="http://schemas.openxmlformats.org/officeDocument/2006/customXml" ds:itemID="{DE544662-F77F-4442-B53C-A34A18686309}">
  <ds:schemaRefs/>
</ds:datastoreItem>
</file>

<file path=customXml/itemProps9.xml><?xml version="1.0" encoding="utf-8"?>
<ds:datastoreItem xmlns:ds="http://schemas.openxmlformats.org/officeDocument/2006/customXml" ds:itemID="{37871AC4-84F1-4DCF-9181-89FBC406BA2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7</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2021-09-20T13:26:00Z</dcterms:created>
  <dcterms:modified xsi:type="dcterms:W3CDTF">2021-09-20T13:31:00Z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