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3C37E9" w:rsidP="00D6051F">
      <w:pPr>
        <w:pStyle w:val="Heading"/>
      </w:pPr>
      <w:r>
        <w:t>Accelerating the Growth of Ambulatory Pharmacy Services</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C37E9">
        <w:rPr>
          <w:color w:val="595959" w:themeColor="text1" w:themeTint="A6"/>
        </w:rPr>
        <w:t>March 19, 2020</w:t>
      </w:r>
    </w:p>
    <w:p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3C37E9">
        <w:rPr>
          <w:color w:val="595959" w:themeColor="text1" w:themeTint="A6"/>
        </w:rPr>
        <w:t>Jackie Stokes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C37E9">
        <w:rPr>
          <w:rFonts w:cs="Arial"/>
          <w:b/>
          <w:color w:val="595959" w:themeColor="text1" w:themeTint="A6"/>
          <w:szCs w:val="20"/>
        </w:rPr>
        <w:t>May 3,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751B53"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145C63" w:rsidRDefault="00751B5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opportunities to expand pharmacist reach across ambulatory populations</w:t>
      </w:r>
    </w:p>
    <w:p w:rsidR="004A294A" w:rsidRPr="00145C63" w:rsidRDefault="00751B53"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methods used to engage external stakeholders</w:t>
      </w:r>
    </w:p>
    <w:p w:rsidR="004A294A" w:rsidRPr="00145C63" w:rsidRDefault="00751B53"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Explore challenges to scaling services</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751B53" w:rsidRPr="00145C63" w:rsidRDefault="00751B53" w:rsidP="00751B53">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methods used to engage external stakeholders</w:t>
      </w:r>
    </w:p>
    <w:p w:rsidR="0013180C" w:rsidRPr="00145C63" w:rsidRDefault="00751B53"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advanced roles for pharmacy technicians</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751B53">
        <w:rPr>
          <w:rFonts w:cs="Arial"/>
          <w:color w:val="595959" w:themeColor="text1" w:themeTint="A6"/>
        </w:rPr>
        <w:t>20</w:t>
      </w:r>
      <w:r w:rsidRPr="00145C63">
        <w:rPr>
          <w:rFonts w:cs="Arial"/>
          <w:color w:val="595959" w:themeColor="text1" w:themeTint="A6"/>
        </w:rPr>
        <w:t>-0</w:t>
      </w:r>
      <w:r w:rsidR="00751B53">
        <w:rPr>
          <w:rFonts w:cs="Arial"/>
          <w:color w:val="595959" w:themeColor="text1" w:themeTint="A6"/>
        </w:rPr>
        <w:t>4</w:t>
      </w:r>
      <w:r w:rsidR="002834BD">
        <w:rPr>
          <w:rFonts w:cs="Arial"/>
          <w:color w:val="595959" w:themeColor="text1" w:themeTint="A6"/>
        </w:rPr>
        <w:t>6</w:t>
      </w:r>
      <w:r w:rsidRPr="00145C63">
        <w:rPr>
          <w:rFonts w:cs="Arial"/>
          <w:color w:val="595959" w:themeColor="text1" w:themeTint="A6"/>
        </w:rPr>
        <w:t>-L0</w:t>
      </w:r>
      <w:r w:rsidR="00751B53">
        <w:rPr>
          <w:rFonts w:cs="Arial"/>
          <w:color w:val="595959" w:themeColor="text1" w:themeTint="A6"/>
        </w:rPr>
        <w:t>4</w:t>
      </w:r>
      <w:r w:rsidRPr="00145C63">
        <w:rPr>
          <w:rFonts w:cs="Arial"/>
          <w:color w:val="595959" w:themeColor="text1" w:themeTint="A6"/>
        </w:rPr>
        <w:t>-P</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751B53">
        <w:rPr>
          <w:rFonts w:cs="Arial"/>
          <w:color w:val="595959" w:themeColor="text1" w:themeTint="A6"/>
        </w:rPr>
        <w:t>20</w:t>
      </w:r>
      <w:r w:rsidRPr="00145C63">
        <w:rPr>
          <w:rFonts w:cs="Arial"/>
          <w:color w:val="595959" w:themeColor="text1" w:themeTint="A6"/>
        </w:rPr>
        <w:t>-0</w:t>
      </w:r>
      <w:r w:rsidR="00751B53">
        <w:rPr>
          <w:rFonts w:cs="Arial"/>
          <w:color w:val="595959" w:themeColor="text1" w:themeTint="A6"/>
        </w:rPr>
        <w:t>4</w:t>
      </w:r>
      <w:r w:rsidR="002834BD">
        <w:rPr>
          <w:rFonts w:cs="Arial"/>
          <w:color w:val="595959" w:themeColor="text1" w:themeTint="A6"/>
        </w:rPr>
        <w:t>6</w:t>
      </w:r>
      <w:bookmarkStart w:id="0" w:name="_GoBack"/>
      <w:bookmarkEnd w:id="0"/>
      <w:r w:rsidRPr="00145C63">
        <w:rPr>
          <w:rFonts w:cs="Arial"/>
          <w:color w:val="595959" w:themeColor="text1" w:themeTint="A6"/>
        </w:rPr>
        <w:t>-L0</w:t>
      </w:r>
      <w:r w:rsidR="00751B53">
        <w:rPr>
          <w:rFonts w:cs="Arial"/>
          <w:color w:val="595959" w:themeColor="text1" w:themeTint="A6"/>
        </w:rPr>
        <w:t>4</w:t>
      </w:r>
      <w:r w:rsidRPr="00145C63">
        <w:rPr>
          <w:rFonts w:cs="Arial"/>
          <w:color w:val="595959" w:themeColor="text1" w:themeTint="A6"/>
        </w:rPr>
        <w:t>-T</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145C63"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2B7812" w:rsidRDefault="002B7812"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Default="00CB449D" w:rsidP="00CB449D"/>
    <w:p w:rsidR="00CB449D" w:rsidRPr="00145C63" w:rsidRDefault="00751B53" w:rsidP="00CB449D">
      <w:pPr>
        <w:rPr>
          <w:b/>
          <w:color w:val="595959" w:themeColor="text1" w:themeTint="A6"/>
        </w:rPr>
      </w:pPr>
      <w:r>
        <w:rPr>
          <w:b/>
          <w:color w:val="595959" w:themeColor="text1" w:themeTint="A6"/>
        </w:rPr>
        <w:t>Jackie Stokes, BS</w:t>
      </w:r>
    </w:p>
    <w:p w:rsidR="00CB449D" w:rsidRPr="00145C63" w:rsidRDefault="00751B53" w:rsidP="00CB449D">
      <w:pPr>
        <w:rPr>
          <w:color w:val="595959" w:themeColor="text1" w:themeTint="A6"/>
        </w:rPr>
      </w:pPr>
      <w:r>
        <w:rPr>
          <w:color w:val="595959" w:themeColor="text1" w:themeTint="A6"/>
        </w:rPr>
        <w:t>Manager Pharmacy Program Services</w:t>
      </w:r>
    </w:p>
    <w:p w:rsidR="00CB449D" w:rsidRPr="00145C63" w:rsidRDefault="00751B53" w:rsidP="00CB449D">
      <w:pPr>
        <w:rPr>
          <w:color w:val="595959" w:themeColor="text1" w:themeTint="A6"/>
        </w:rPr>
      </w:pPr>
      <w:r>
        <w:rPr>
          <w:color w:val="595959" w:themeColor="text1" w:themeTint="A6"/>
        </w:rPr>
        <w:t>Vizient</w:t>
      </w:r>
    </w:p>
    <w:p w:rsidR="00CB449D" w:rsidRPr="00CB449D" w:rsidRDefault="00CB449D" w:rsidP="00CB449D">
      <w:pPr>
        <w:rPr>
          <w:color w:val="7F7F7F" w:themeColor="text1" w:themeTint="80"/>
        </w:rPr>
      </w:pPr>
    </w:p>
    <w:p w:rsidR="00CB449D" w:rsidRPr="00145C63" w:rsidRDefault="00751B53" w:rsidP="00CB449D">
      <w:pPr>
        <w:rPr>
          <w:b/>
          <w:color w:val="595959" w:themeColor="text1" w:themeTint="A6"/>
        </w:rPr>
      </w:pPr>
      <w:r>
        <w:rPr>
          <w:b/>
          <w:color w:val="595959" w:themeColor="text1" w:themeTint="A6"/>
        </w:rPr>
        <w:t>Gretchen Brummel, PharmD, BCPS</w:t>
      </w:r>
    </w:p>
    <w:p w:rsidR="00CB449D" w:rsidRPr="00145C63" w:rsidRDefault="00751B53" w:rsidP="00CB449D">
      <w:pPr>
        <w:rPr>
          <w:color w:val="595959" w:themeColor="text1" w:themeTint="A6"/>
        </w:rPr>
      </w:pPr>
      <w:r>
        <w:rPr>
          <w:color w:val="595959" w:themeColor="text1" w:themeTint="A6"/>
        </w:rPr>
        <w:t>Consulting Director, Pharmacy</w:t>
      </w:r>
    </w:p>
    <w:p w:rsidR="00CB449D" w:rsidRPr="00145C63" w:rsidRDefault="00751B53"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Pr="00D13F13" w:rsidRDefault="00751B53" w:rsidP="00CB449D">
      <w:pPr>
        <w:pStyle w:val="Heading3"/>
        <w:spacing w:before="0" w:after="120"/>
        <w:rPr>
          <w:rFonts w:cs="Arial"/>
          <w:color w:val="01ADAB" w:themeColor="accent4"/>
          <w:sz w:val="24"/>
        </w:rPr>
      </w:pPr>
      <w:r>
        <w:rPr>
          <w:rFonts w:cs="Arial"/>
          <w:b w:val="0"/>
          <w:bCs w:val="0"/>
          <w:color w:val="01ADAB" w:themeColor="accent4"/>
          <w:sz w:val="24"/>
        </w:rPr>
        <w:t>Course reviewer</w:t>
      </w:r>
    </w:p>
    <w:p w:rsidR="00751B53" w:rsidRDefault="00751B53" w:rsidP="00751B53">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rsidR="00751B53" w:rsidRDefault="00751B53" w:rsidP="00751B53">
      <w:pPr>
        <w:rPr>
          <w:rFonts w:cs="Arial"/>
          <w:color w:val="696969"/>
          <w:szCs w:val="20"/>
        </w:rPr>
      </w:pPr>
      <w:r>
        <w:rPr>
          <w:rFonts w:cs="Arial"/>
          <w:color w:val="696969"/>
          <w:szCs w:val="20"/>
        </w:rPr>
        <w:t xml:space="preserve">Clinical Pharmacy Director, Sourcing Operations </w:t>
      </w:r>
    </w:p>
    <w:p w:rsidR="00751B53" w:rsidRDefault="00751B53" w:rsidP="00751B53">
      <w:pPr>
        <w:rPr>
          <w:rFonts w:cs="Arial"/>
          <w:color w:val="696969"/>
          <w:szCs w:val="20"/>
        </w:rPr>
      </w:pPr>
      <w:r>
        <w:rPr>
          <w:rFonts w:cs="Arial"/>
          <w:color w:val="696969"/>
          <w:szCs w:val="20"/>
        </w:rPr>
        <w:t>Center for Pharmacy Practice Excellence</w:t>
      </w:r>
    </w:p>
    <w:p w:rsidR="00751B53" w:rsidRDefault="00751B53" w:rsidP="00751B53">
      <w:pPr>
        <w:rPr>
          <w:rFonts w:cs="Arial"/>
          <w:color w:val="696969"/>
          <w:szCs w:val="20"/>
        </w:rPr>
      </w:pPr>
      <w:r>
        <w:rPr>
          <w:rFonts w:cs="Arial"/>
          <w:color w:val="696969"/>
          <w:szCs w:val="20"/>
        </w:rPr>
        <w:t>Vizient</w:t>
      </w:r>
    </w:p>
    <w:p w:rsidR="00CB449D" w:rsidRPr="00145C63" w:rsidRDefault="00CB449D" w:rsidP="00CB449D">
      <w:pPr>
        <w:rPr>
          <w:color w:val="595959" w:themeColor="text1" w:themeTint="A6"/>
        </w:rPr>
      </w:pPr>
    </w:p>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145C63" w:rsidRDefault="00751B53" w:rsidP="00CB449D">
      <w:pPr>
        <w:rPr>
          <w:b/>
          <w:color w:val="595959" w:themeColor="text1" w:themeTint="A6"/>
        </w:rPr>
      </w:pPr>
      <w:r>
        <w:rPr>
          <w:b/>
          <w:color w:val="595959" w:themeColor="text1" w:themeTint="A6"/>
        </w:rPr>
        <w:t>Donna M. Walsh, PharmD</w:t>
      </w:r>
    </w:p>
    <w:p w:rsidR="00CB449D" w:rsidRPr="00145C63" w:rsidRDefault="00751B53" w:rsidP="00CB449D">
      <w:pPr>
        <w:rPr>
          <w:color w:val="595959" w:themeColor="text1" w:themeTint="A6"/>
        </w:rPr>
      </w:pPr>
      <w:r>
        <w:rPr>
          <w:color w:val="595959" w:themeColor="text1" w:themeTint="A6"/>
        </w:rPr>
        <w:t>Director, Clinical Pharmacy Services</w:t>
      </w:r>
    </w:p>
    <w:p w:rsidR="00CB449D" w:rsidRPr="00145C63" w:rsidRDefault="00751B53" w:rsidP="00CB449D">
      <w:pPr>
        <w:rPr>
          <w:color w:val="595959" w:themeColor="text1" w:themeTint="A6"/>
        </w:rPr>
      </w:pPr>
      <w:proofErr w:type="spellStart"/>
      <w:r>
        <w:rPr>
          <w:color w:val="595959" w:themeColor="text1" w:themeTint="A6"/>
        </w:rPr>
        <w:t>ChristianaCare</w:t>
      </w:r>
      <w:proofErr w:type="spellEnd"/>
    </w:p>
    <w:p w:rsidR="00CB449D" w:rsidRPr="00145C63" w:rsidRDefault="00CB449D" w:rsidP="00CB449D">
      <w:pPr>
        <w:rPr>
          <w:color w:val="595959" w:themeColor="text1" w:themeTint="A6"/>
        </w:rPr>
      </w:pPr>
    </w:p>
    <w:p w:rsidR="00CB449D" w:rsidRPr="00145C63" w:rsidRDefault="00751B53" w:rsidP="00CB449D">
      <w:pPr>
        <w:rPr>
          <w:b/>
          <w:color w:val="595959" w:themeColor="text1" w:themeTint="A6"/>
        </w:rPr>
      </w:pPr>
      <w:r>
        <w:rPr>
          <w:b/>
          <w:color w:val="595959" w:themeColor="text1" w:themeTint="A6"/>
        </w:rPr>
        <w:t>John Flaherty, PharmD, MBA</w:t>
      </w:r>
    </w:p>
    <w:p w:rsidR="00CB449D" w:rsidRPr="00145C63" w:rsidRDefault="00614992" w:rsidP="00CB449D">
      <w:pPr>
        <w:rPr>
          <w:color w:val="595959" w:themeColor="text1" w:themeTint="A6"/>
        </w:rPr>
      </w:pPr>
      <w:r>
        <w:rPr>
          <w:color w:val="595959" w:themeColor="text1" w:themeTint="A6"/>
        </w:rPr>
        <w:t>Director, Outpatient and Population Health Pharmacy Services</w:t>
      </w:r>
    </w:p>
    <w:p w:rsidR="00CB449D" w:rsidRPr="00145C63" w:rsidRDefault="00614992" w:rsidP="00CB449D">
      <w:pPr>
        <w:rPr>
          <w:color w:val="595959" w:themeColor="text1" w:themeTint="A6"/>
        </w:rPr>
      </w:pPr>
      <w:proofErr w:type="spellStart"/>
      <w:r>
        <w:rPr>
          <w:color w:val="595959" w:themeColor="text1" w:themeTint="A6"/>
        </w:rPr>
        <w:t>ChristianaCare</w:t>
      </w:r>
      <w:proofErr w:type="spellEnd"/>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834BD"/>
    <w:rsid w:val="0029361D"/>
    <w:rsid w:val="002B3983"/>
    <w:rsid w:val="002B7812"/>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37E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14992"/>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1B53"/>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3"/>
    <w:rsid w:val="00D14C65"/>
    <w:rsid w:val="00D2267A"/>
    <w:rsid w:val="00D35964"/>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SourceDataModel Name="Computed" TargetDataSourceId="87651697-ca1f-4d80-9f69-bb743e325714"/>
</file>

<file path=customXml/item14.xml><?xml version="1.0" encoding="utf-8"?>
<DocPartTre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AllExternalAdhocVariableMappings/>
</file>

<file path=customXml/item18.xml><?xml version="1.0" encoding="utf-8"?>
<AllMetadata/>
</file>

<file path=customXml/item19.xml><?xml version="1.0" encoding="utf-8"?>
<SourceDataModel Name="AD_HOC" TargetDataSourceId="80be7e5f-6e71-448c-9228-23264555308c"/>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Definition name="System" displayName="System" id="dc9731b4-d0d2-4ed5-b20d-434d69de1706" isdomainofvalue="False" 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AllWordPDs>
</AllWordPD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Definition name="AD_HOC" displayName="AD_HOC" id="9426ea6f-1b24-4683-bca3-85d71f6375fd" isdomainofvalue="False" dataSourceId="80be7e5f-6e71-448c-9228-23264555308c"/>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3F953E9E-E3A5-4430-B16A-FE056E16ED4D}">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purl.org/dc/term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fields"/>
    <ds:schemaRef ds:uri="http://schemas.microsoft.com/sharepoint/v3"/>
    <ds:schemaRef ds:uri="01e59a59-e903-4787-b1b4-4a99956146ec"/>
    <ds:schemaRef ds:uri="http://www.w3.org/XML/1998/namespace"/>
    <ds:schemaRef ds:uri="http://purl.org/dc/dcmitype/"/>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2020-02-18T16:59:00Z</dcterms:created>
  <dcterms:modified xsi:type="dcterms:W3CDTF">2020-02-18T17:41:00Z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