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4ACAAD91" w:rsidR="00D50976" w:rsidRDefault="00D50976" w:rsidP="00EC14B3">
      <w:pPr>
        <w:pStyle w:val="Headline2"/>
      </w:pPr>
      <w:r w:rsidRPr="00EC14B3">
        <w:t>Instructions for obtaining continuing education (CE) credit</w:t>
      </w:r>
    </w:p>
    <w:p w14:paraId="06F90D54" w14:textId="5C41A7D5" w:rsidR="00B44EEA" w:rsidRPr="001E0A29" w:rsidRDefault="00B44EEA" w:rsidP="00B44EEA">
      <w:pPr>
        <w:pStyle w:val="Headline2"/>
        <w:rPr>
          <w:sz w:val="24"/>
          <w:szCs w:val="24"/>
        </w:rPr>
      </w:pPr>
      <w:r w:rsidRPr="001E0A29">
        <w:rPr>
          <w:sz w:val="24"/>
          <w:szCs w:val="24"/>
        </w:rPr>
        <w:t>(</w:t>
      </w:r>
      <w:r>
        <w:rPr>
          <w:sz w:val="24"/>
          <w:szCs w:val="24"/>
        </w:rPr>
        <w:t xml:space="preserve">for </w:t>
      </w:r>
      <w:r w:rsidR="00545FD1">
        <w:rPr>
          <w:sz w:val="24"/>
          <w:szCs w:val="24"/>
        </w:rPr>
        <w:t xml:space="preserve">physicians, </w:t>
      </w:r>
      <w:r>
        <w:rPr>
          <w:sz w:val="24"/>
          <w:szCs w:val="24"/>
        </w:rPr>
        <w:t>n</w:t>
      </w:r>
      <w:r w:rsidRPr="001E0A29">
        <w:rPr>
          <w:sz w:val="24"/>
          <w:szCs w:val="24"/>
        </w:rPr>
        <w:t xml:space="preserve">urses, </w:t>
      </w:r>
      <w:r>
        <w:rPr>
          <w:sz w:val="24"/>
          <w:szCs w:val="24"/>
        </w:rPr>
        <w:t>p</w:t>
      </w:r>
      <w:r w:rsidRPr="001E0A29">
        <w:rPr>
          <w:sz w:val="24"/>
          <w:szCs w:val="24"/>
        </w:rPr>
        <w:t xml:space="preserve">harmacists, </w:t>
      </w:r>
      <w:r>
        <w:rPr>
          <w:sz w:val="24"/>
          <w:szCs w:val="24"/>
        </w:rPr>
        <w:t>p</w:t>
      </w:r>
      <w:r w:rsidRPr="001E0A29">
        <w:rPr>
          <w:sz w:val="24"/>
          <w:szCs w:val="24"/>
        </w:rPr>
        <w:t xml:space="preserve">harmacy </w:t>
      </w:r>
      <w:r>
        <w:rPr>
          <w:sz w:val="24"/>
          <w:szCs w:val="24"/>
        </w:rPr>
        <w:t>t</w:t>
      </w:r>
      <w:r w:rsidRPr="001E0A29">
        <w:rPr>
          <w:sz w:val="24"/>
          <w:szCs w:val="24"/>
        </w:rPr>
        <w:t>echnicians)</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4FD18B82" w14:textId="1112D033" w:rsidR="00D50976" w:rsidRPr="008B1CED" w:rsidRDefault="008007C3" w:rsidP="008B1CED">
      <w:pPr>
        <w:pStyle w:val="Heading"/>
      </w:pPr>
      <w:r>
        <w:t xml:space="preserve">Stress First Aid for </w:t>
      </w:r>
      <w:r w:rsidR="003910ED">
        <w:t>Health Care Workers</w:t>
      </w:r>
      <w:r w:rsidR="00545FD1" w:rsidRPr="00545FD1">
        <w:t xml:space="preserve"> </w:t>
      </w:r>
      <w:r w:rsidR="00736C3D">
        <w:t>–</w:t>
      </w:r>
      <w:r w:rsidR="00545FD1" w:rsidRPr="00545FD1">
        <w:t xml:space="preserve"> </w:t>
      </w:r>
      <w:r w:rsidR="00736C3D">
        <w:t>Bedford-Stuyvesant Family Health Center</w:t>
      </w:r>
    </w:p>
    <w:p w14:paraId="34E1CA2D" w14:textId="7EC631D9" w:rsidR="00D50976" w:rsidRDefault="00D50976" w:rsidP="00EC14B3">
      <w:pPr>
        <w:pStyle w:val="BodyText1"/>
        <w:spacing w:after="0"/>
        <w:rPr>
          <w:color w:val="595959" w:themeColor="text1" w:themeTint="A6"/>
        </w:rPr>
      </w:pPr>
      <w:r w:rsidRPr="00145C63">
        <w:rPr>
          <w:color w:val="595959" w:themeColor="text1" w:themeTint="A6"/>
        </w:rPr>
        <w:t xml:space="preserve">Activity date: </w:t>
      </w:r>
      <w:r w:rsidR="003910ED">
        <w:rPr>
          <w:color w:val="595959" w:themeColor="text1" w:themeTint="A6"/>
        </w:rPr>
        <w:t xml:space="preserve">April </w:t>
      </w:r>
      <w:r w:rsidR="00736C3D">
        <w:rPr>
          <w:color w:val="595959" w:themeColor="text1" w:themeTint="A6"/>
        </w:rPr>
        <w:t>9, 16, 23, 30</w:t>
      </w:r>
      <w:r w:rsidR="008007C3">
        <w:rPr>
          <w:color w:val="595959" w:themeColor="text1" w:themeTint="A6"/>
        </w:rPr>
        <w:t>, 2021</w:t>
      </w:r>
    </w:p>
    <w:p w14:paraId="5515F2EB" w14:textId="77777777" w:rsidR="00EC14B3" w:rsidRPr="00145C63" w:rsidRDefault="00EC14B3" w:rsidP="00EC14B3">
      <w:pPr>
        <w:pStyle w:val="BodyText1"/>
        <w:spacing w:after="0"/>
        <w:rPr>
          <w:color w:val="595959" w:themeColor="text1" w:themeTint="A6"/>
        </w:rPr>
      </w:pPr>
    </w:p>
    <w:p w14:paraId="461501A7" w14:textId="47B6B912" w:rsidR="00EC14B3" w:rsidRPr="00955A6A" w:rsidRDefault="00271DF3" w:rsidP="00F31EA1">
      <w:pPr>
        <w:spacing w:after="0" w:line="240" w:lineRule="auto"/>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You will need to use Chrome as opposed to Internet Explorer when obtaining credit for this course</w:t>
      </w:r>
      <w:r w:rsidR="00955A6A" w:rsidRPr="00955A6A">
        <w:rPr>
          <w:rFonts w:ascii="Arial" w:hAnsi="Arial" w:cs="Arial"/>
          <w:color w:val="595959" w:themeColor="text1" w:themeTint="A6"/>
          <w:sz w:val="20"/>
          <w:szCs w:val="20"/>
        </w:rPr>
        <w:t>.</w:t>
      </w:r>
    </w:p>
    <w:p w14:paraId="2EED4D2B" w14:textId="77777777" w:rsidR="00EC14B3" w:rsidRDefault="00EC14B3" w:rsidP="00F31EA1">
      <w:pPr>
        <w:spacing w:after="0" w:line="240" w:lineRule="auto"/>
        <w:rPr>
          <w:rFonts w:ascii="Arial" w:hAnsi="Arial" w:cs="Arial"/>
          <w:color w:val="595959" w:themeColor="text1" w:themeTint="A6"/>
          <w:sz w:val="20"/>
          <w:szCs w:val="20"/>
        </w:rPr>
      </w:pPr>
    </w:p>
    <w:p w14:paraId="60B63ADE" w14:textId="0404E4F0" w:rsidR="004F0F2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MEMBERS</w:t>
      </w:r>
      <w:r>
        <w:rPr>
          <w:rFonts w:ascii="Arial" w:hAnsi="Arial" w:cs="Arial"/>
          <w:color w:val="595959" w:themeColor="text1" w:themeTint="A6"/>
          <w:sz w:val="20"/>
          <w:szCs w:val="20"/>
        </w:rPr>
        <w:t>: a</w:t>
      </w:r>
      <w:r w:rsidR="004F0F2B">
        <w:rPr>
          <w:rFonts w:ascii="Arial" w:hAnsi="Arial" w:cs="Arial"/>
          <w:color w:val="595959" w:themeColor="text1" w:themeTint="A6"/>
          <w:sz w:val="20"/>
          <w:szCs w:val="20"/>
        </w:rPr>
        <w:t xml:space="preserve"> Vizient login account is required to claim credit.  </w:t>
      </w:r>
      <w:r w:rsidR="004F0F2B"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8" w:history="1">
        <w:r w:rsidR="004F0F2B" w:rsidRPr="00DD111D">
          <w:rPr>
            <w:rStyle w:val="Hyperlink"/>
            <w:rFonts w:ascii="Arial" w:hAnsi="Arial" w:cs="Arial"/>
            <w:color w:val="595959" w:themeColor="text1" w:themeTint="A6"/>
            <w:sz w:val="20"/>
            <w:szCs w:val="20"/>
          </w:rPr>
          <w:t>VizientSupport@Vizientinc.com</w:t>
        </w:r>
      </w:hyperlink>
      <w:r w:rsidR="004F0F2B" w:rsidRPr="00DD111D">
        <w:rPr>
          <w:rFonts w:ascii="Arial" w:hAnsi="Arial" w:cs="Arial"/>
          <w:color w:val="595959" w:themeColor="text1" w:themeTint="A6"/>
          <w:sz w:val="20"/>
          <w:szCs w:val="20"/>
        </w:rPr>
        <w:t xml:space="preserve"> or (800) 842-5146.</w:t>
      </w:r>
    </w:p>
    <w:p w14:paraId="4ACF84A8" w14:textId="77777777" w:rsidR="008C71DA" w:rsidRDefault="008C71DA" w:rsidP="00F31EA1">
      <w:pPr>
        <w:spacing w:line="240" w:lineRule="auto"/>
        <w:rPr>
          <w:rFonts w:ascii="Arial" w:hAnsi="Arial" w:cs="Arial"/>
          <w:color w:val="595959" w:themeColor="text1" w:themeTint="A6"/>
          <w:sz w:val="20"/>
          <w:szCs w:val="20"/>
        </w:rPr>
      </w:pPr>
    </w:p>
    <w:p w14:paraId="48C00796" w14:textId="1DFEF960" w:rsidR="00D7256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NON-MEMBERS</w:t>
      </w:r>
      <w:r>
        <w:rPr>
          <w:rFonts w:ascii="Arial" w:hAnsi="Arial" w:cs="Arial"/>
          <w:color w:val="595959" w:themeColor="text1" w:themeTint="A6"/>
          <w:sz w:val="20"/>
          <w:szCs w:val="20"/>
        </w:rPr>
        <w:t xml:space="preserve">: </w:t>
      </w:r>
      <w:hyperlink r:id="rId9" w:anchor="/001-VZ" w:history="1">
        <w:r w:rsidRPr="00CA1E18">
          <w:rPr>
            <w:rStyle w:val="Hyperlink"/>
            <w:rFonts w:ascii="Arial" w:hAnsi="Arial" w:cs="Arial"/>
            <w:b/>
            <w:sz w:val="20"/>
            <w:szCs w:val="20"/>
          </w:rPr>
          <w:t>click here</w:t>
        </w:r>
      </w:hyperlink>
      <w:r w:rsidRPr="00CA1E18">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to request a login account, or copy and paste this link into your browser. </w:t>
      </w:r>
      <w:hyperlink r:id="rId10" w:anchor="/001-VZ" w:history="1">
        <w:r w:rsidRPr="00D6458B">
          <w:rPr>
            <w:rStyle w:val="Hyperlink"/>
            <w:rFonts w:ascii="Arial" w:hAnsi="Arial" w:cs="Arial"/>
            <w:sz w:val="20"/>
            <w:szCs w:val="20"/>
          </w:rPr>
          <w:t>http://apps.vizientinc.com/userregistration/site/cv/#/001-VZ</w:t>
        </w:r>
      </w:hyperlink>
    </w:p>
    <w:p w14:paraId="24A10AE2" w14:textId="57B8F744" w:rsidR="002D72F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On the landing page, enter your email address and click on “Search”</w:t>
      </w:r>
    </w:p>
    <w:p w14:paraId="7C8FA1A7" w14:textId="77777777" w:rsidR="002D72F4" w:rsidRDefault="002D72F4" w:rsidP="00F31EA1">
      <w:pPr>
        <w:pStyle w:val="ListParagraph"/>
        <w:spacing w:after="0" w:line="240" w:lineRule="auto"/>
        <w:ind w:left="360"/>
        <w:rPr>
          <w:rFonts w:ascii="Arial" w:hAnsi="Arial" w:cs="Arial"/>
          <w:color w:val="595959" w:themeColor="text1" w:themeTint="A6"/>
          <w:sz w:val="20"/>
          <w:szCs w:val="20"/>
        </w:rPr>
      </w:pPr>
      <w:r>
        <w:rPr>
          <w:rFonts w:ascii="Arial" w:hAnsi="Arial" w:cs="Arial"/>
          <w:color w:val="595959" w:themeColor="text1" w:themeTint="A6"/>
          <w:sz w:val="20"/>
          <w:szCs w:val="20"/>
        </w:rPr>
        <w:t>(NOTE: AOL email addresses cannot be accepted, please use an alternate email address)</w:t>
      </w:r>
    </w:p>
    <w:p w14:paraId="50B9396B" w14:textId="7A47E4E3" w:rsidR="002D72F4" w:rsidRPr="008B2E3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no record of your email address is found, click on “Next”</w:t>
      </w:r>
    </w:p>
    <w:p w14:paraId="6CDC8FD7" w14:textId="0902350D" w:rsidR="002D72F4"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Complete the required fields on the About You page and click on “Next”</w:t>
      </w:r>
    </w:p>
    <w:p w14:paraId="34B9F7AF" w14:textId="19DE078C" w:rsid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everything is correct on the Review Submission page, click on “Submit” (you may make changes if needed by clicking “Modify Profile” or “Previous”)</w:t>
      </w:r>
    </w:p>
    <w:p w14:paraId="4181DCE1" w14:textId="31E43BC8" w:rsidR="00DE7C46" w:rsidRP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sidRPr="00DE7C46">
        <w:rPr>
          <w:rFonts w:ascii="Arial" w:hAnsi="Arial" w:cs="Arial"/>
          <w:color w:val="595959" w:themeColor="text1" w:themeTint="A6"/>
          <w:sz w:val="20"/>
          <w:szCs w:val="20"/>
        </w:rPr>
        <w:t xml:space="preserve">You will be taken to a confirmation page and receive an email from vizientsupport@vizientinc.com </w:t>
      </w:r>
      <w:r w:rsidR="00BF7668">
        <w:rPr>
          <w:rFonts w:ascii="Arial" w:hAnsi="Arial" w:cs="Arial"/>
          <w:color w:val="595959" w:themeColor="text1" w:themeTint="A6"/>
          <w:sz w:val="20"/>
          <w:szCs w:val="20"/>
        </w:rPr>
        <w:t>within 24 hours</w:t>
      </w:r>
      <w:r w:rsidRPr="00DE7C46">
        <w:rPr>
          <w:rFonts w:ascii="Arial" w:hAnsi="Arial" w:cs="Arial"/>
          <w:color w:val="595959" w:themeColor="text1" w:themeTint="A6"/>
          <w:sz w:val="20"/>
          <w:szCs w:val="20"/>
        </w:rPr>
        <w:t xml:space="preserve"> containing your login name and a link to establish a password</w:t>
      </w:r>
    </w:p>
    <w:p w14:paraId="555FAEA2" w14:textId="54B0F4FA" w:rsidR="00D7256B" w:rsidRPr="00F31EA1" w:rsidRDefault="00F31EA1" w:rsidP="00F31EA1">
      <w:pPr>
        <w:pStyle w:val="ListParagraph"/>
        <w:numPr>
          <w:ilvl w:val="0"/>
          <w:numId w:val="2"/>
        </w:numPr>
        <w:spacing w:line="240" w:lineRule="auto"/>
        <w:rPr>
          <w:rFonts w:ascii="Arial" w:hAnsi="Arial" w:cs="Arial"/>
          <w:color w:val="595959" w:themeColor="text1" w:themeTint="A6"/>
          <w:sz w:val="20"/>
          <w:szCs w:val="20"/>
        </w:rPr>
      </w:pPr>
      <w:r w:rsidRPr="00F31EA1">
        <w:rPr>
          <w:rFonts w:ascii="Arial" w:hAnsi="Arial" w:cs="Arial"/>
          <w:color w:val="595959" w:themeColor="text1" w:themeTint="A6"/>
          <w:sz w:val="20"/>
          <w:szCs w:val="20"/>
        </w:rPr>
        <w:t>O</w:t>
      </w:r>
      <w:r w:rsidR="00DE7C46" w:rsidRPr="00F31EA1">
        <w:rPr>
          <w:rFonts w:ascii="Arial" w:hAnsi="Arial" w:cs="Arial"/>
          <w:color w:val="595959" w:themeColor="text1" w:themeTint="A6"/>
          <w:sz w:val="20"/>
          <w:szCs w:val="20"/>
        </w:rPr>
        <w:t>nce your password has been established</w:t>
      </w:r>
      <w:r w:rsidRPr="00F31EA1">
        <w:rPr>
          <w:rFonts w:ascii="Arial" w:hAnsi="Arial" w:cs="Arial"/>
          <w:color w:val="595959" w:themeColor="text1" w:themeTint="A6"/>
          <w:sz w:val="20"/>
          <w:szCs w:val="20"/>
        </w:rPr>
        <w:t xml:space="preserve">, log in </w:t>
      </w:r>
      <w:r w:rsidR="00DE7C46" w:rsidRPr="00F31EA1">
        <w:rPr>
          <w:rFonts w:ascii="Arial" w:hAnsi="Arial" w:cs="Arial"/>
          <w:color w:val="595959" w:themeColor="text1" w:themeTint="A6"/>
          <w:sz w:val="20"/>
          <w:szCs w:val="20"/>
        </w:rPr>
        <w:t>with your new Vizient username and password</w:t>
      </w:r>
      <w:r>
        <w:rPr>
          <w:rFonts w:ascii="Arial" w:hAnsi="Arial" w:cs="Arial"/>
          <w:color w:val="595959" w:themeColor="text1" w:themeTint="A6"/>
          <w:sz w:val="20"/>
          <w:szCs w:val="20"/>
        </w:rPr>
        <w:t>, and follow the instructions below. (Note: on your first visit, you will be required to update your profile in our CE system)</w:t>
      </w:r>
    </w:p>
    <w:p w14:paraId="3834E695" w14:textId="16210716" w:rsidR="009F64E6" w:rsidRDefault="00D3053E" w:rsidP="00F31EA1">
      <w:pPr>
        <w:spacing w:after="0" w:line="240" w:lineRule="auto"/>
        <w:rPr>
          <w:rFonts w:ascii="Arial" w:hAnsi="Arial" w:cs="Arial"/>
          <w:color w:val="595959" w:themeColor="text1" w:themeTint="A6"/>
          <w:sz w:val="20"/>
          <w:szCs w:val="20"/>
        </w:rPr>
      </w:pPr>
      <w:r w:rsidRPr="00465D9F">
        <w:rPr>
          <w:rFonts w:ascii="Arial" w:hAnsi="Arial" w:cs="Arial"/>
          <w:b/>
          <w:bCs/>
          <w:color w:val="595959" w:themeColor="text1" w:themeTint="A6"/>
          <w:sz w:val="20"/>
          <w:szCs w:val="20"/>
        </w:rPr>
        <w:t xml:space="preserve">When adding or updating your profile, it </w:t>
      </w:r>
      <w:r w:rsidR="00CB0B74" w:rsidRPr="00465D9F">
        <w:rPr>
          <w:rFonts w:ascii="Arial" w:hAnsi="Arial" w:cs="Arial"/>
          <w:b/>
          <w:bCs/>
          <w:color w:val="595959" w:themeColor="text1" w:themeTint="A6"/>
          <w:sz w:val="20"/>
          <w:szCs w:val="20"/>
        </w:rPr>
        <w:t xml:space="preserve">is important that you select your Discipline </w:t>
      </w:r>
      <w:r w:rsidR="00465D9F" w:rsidRPr="00465D9F">
        <w:rPr>
          <w:rFonts w:ascii="Arial" w:hAnsi="Arial" w:cs="Arial"/>
          <w:b/>
          <w:bCs/>
          <w:color w:val="595959" w:themeColor="text1" w:themeTint="A6"/>
          <w:sz w:val="20"/>
          <w:szCs w:val="20"/>
        </w:rPr>
        <w:t xml:space="preserve">to </w:t>
      </w:r>
      <w:r w:rsidR="00465D9F">
        <w:rPr>
          <w:rFonts w:ascii="Arial" w:hAnsi="Arial" w:cs="Arial"/>
          <w:b/>
          <w:bCs/>
          <w:color w:val="595959" w:themeColor="text1" w:themeTint="A6"/>
          <w:sz w:val="20"/>
          <w:szCs w:val="20"/>
        </w:rPr>
        <w:t>ensure the correct type of credit is awarded</w:t>
      </w:r>
      <w:r w:rsidR="00CB0B74" w:rsidRPr="00465D9F">
        <w:rPr>
          <w:rFonts w:ascii="Arial" w:hAnsi="Arial" w:cs="Arial"/>
          <w:b/>
          <w:bCs/>
          <w:color w:val="595959" w:themeColor="text1" w:themeTint="A6"/>
          <w:sz w:val="20"/>
          <w:szCs w:val="20"/>
        </w:rPr>
        <w:t>.</w:t>
      </w:r>
    </w:p>
    <w:p w14:paraId="44BE9CDD" w14:textId="77777777" w:rsidR="00465D9F" w:rsidRDefault="00465D9F" w:rsidP="00465D9F">
      <w:pPr>
        <w:spacing w:after="120" w:line="240" w:lineRule="auto"/>
        <w:rPr>
          <w:rFonts w:ascii="Arial" w:eastAsia="Arial" w:hAnsi="Arial" w:cs="Arial"/>
          <w:b/>
          <w:color w:val="01ADAB"/>
          <w:sz w:val="24"/>
          <w:szCs w:val="24"/>
        </w:rPr>
      </w:pPr>
    </w:p>
    <w:p w14:paraId="28CBE776" w14:textId="10847664" w:rsidR="00465D9F" w:rsidRPr="00465D9F" w:rsidRDefault="00465D9F" w:rsidP="00465D9F">
      <w:pPr>
        <w:spacing w:after="120" w:line="240" w:lineRule="auto"/>
        <w:rPr>
          <w:rFonts w:ascii="Arial" w:eastAsia="Arial" w:hAnsi="Arial" w:cs="Arial"/>
          <w:b/>
          <w:sz w:val="24"/>
          <w:szCs w:val="24"/>
        </w:rPr>
      </w:pPr>
      <w:r w:rsidRPr="00465D9F">
        <w:rPr>
          <w:rFonts w:ascii="Arial" w:eastAsia="Arial" w:hAnsi="Arial" w:cs="Arial"/>
          <w:b/>
          <w:sz w:val="24"/>
          <w:szCs w:val="24"/>
        </w:rPr>
        <w:t>Important note for pharmacists and pharmacy technicians</w:t>
      </w:r>
    </w:p>
    <w:p w14:paraId="317B548A" w14:textId="77777777" w:rsidR="00465D9F" w:rsidRPr="00465D9F" w:rsidRDefault="00465D9F" w:rsidP="00465D9F">
      <w:pPr>
        <w:spacing w:after="12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All credit awarded to pharmacists/pharmacy technicians must be via CPE Monitor; paper certificates are not valid for submission.  Pharmacists/pharmacy technicians will be able to print individual statements of credit and their transcripts from their NABP e-profile created at </w:t>
      </w:r>
      <w:hyperlink r:id="rId11" w:history="1">
        <w:r w:rsidRPr="00465D9F">
          <w:rPr>
            <w:rFonts w:ascii="Arial" w:eastAsia="Arial" w:hAnsi="Arial" w:cs="Arial"/>
            <w:color w:val="595959"/>
            <w:sz w:val="20"/>
            <w:szCs w:val="24"/>
          </w:rPr>
          <w:t>www.mycpemonitor.net</w:t>
        </w:r>
      </w:hyperlink>
      <w:r w:rsidRPr="00465D9F">
        <w:rPr>
          <w:rFonts w:ascii="Arial" w:eastAsia="Arial" w:hAnsi="Arial" w:cs="Arial"/>
          <w:color w:val="595959"/>
          <w:sz w:val="20"/>
          <w:szCs w:val="24"/>
        </w:rPr>
        <w:t xml:space="preserve"> or </w:t>
      </w:r>
      <w:hyperlink r:id="rId12" w:history="1">
        <w:r w:rsidRPr="00465D9F">
          <w:rPr>
            <w:rFonts w:ascii="Arial" w:eastAsia="Arial" w:hAnsi="Arial" w:cs="Arial"/>
            <w:color w:val="595959"/>
            <w:sz w:val="20"/>
            <w:szCs w:val="24"/>
          </w:rPr>
          <w:t>www.nabp.net</w:t>
        </w:r>
      </w:hyperlink>
      <w:r w:rsidRPr="00465D9F">
        <w:rPr>
          <w:rFonts w:ascii="Arial" w:eastAsia="Arial" w:hAnsi="Arial" w:cs="Arial"/>
          <w:color w:val="595959"/>
          <w:sz w:val="20"/>
          <w:szCs w:val="24"/>
        </w:rPr>
        <w:t>.</w:t>
      </w:r>
    </w:p>
    <w:p w14:paraId="6366EE39"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Please provide an accurate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w:t>
      </w:r>
      <w:r w:rsidRPr="00465D9F">
        <w:rPr>
          <w:rFonts w:ascii="Arial" w:eastAsia="Arial" w:hAnsi="Arial" w:cs="Arial"/>
          <w:b/>
          <w:color w:val="595959"/>
          <w:sz w:val="20"/>
          <w:szCs w:val="20"/>
          <w:u w:val="single"/>
        </w:rPr>
        <w:t>mm/dd</w:t>
      </w:r>
      <w:r w:rsidRPr="00465D9F">
        <w:rPr>
          <w:rFonts w:ascii="Arial" w:eastAsia="Arial" w:hAnsi="Arial" w:cs="Arial"/>
          <w:color w:val="595959"/>
          <w:sz w:val="20"/>
          <w:szCs w:val="20"/>
        </w:rPr>
        <w:t xml:space="preserve"> – do not include birth year)</w:t>
      </w:r>
    </w:p>
    <w:p w14:paraId="7ECDF478"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Vizient will upload your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into CPE Monitor within 24 hours after the completion of all steps required to receive credit.</w:t>
      </w:r>
    </w:p>
    <w:p w14:paraId="3E2891C9" w14:textId="77777777" w:rsidR="00465D9F" w:rsidRPr="00465D9F" w:rsidRDefault="00465D9F" w:rsidP="00465D9F">
      <w:pPr>
        <w:spacing w:after="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If your </w:t>
      </w:r>
      <w:r w:rsidRPr="00465D9F">
        <w:rPr>
          <w:rFonts w:ascii="Arial" w:eastAsia="Arial" w:hAnsi="Arial" w:cs="Arial"/>
          <w:b/>
          <w:color w:val="595959"/>
          <w:sz w:val="20"/>
          <w:szCs w:val="24"/>
        </w:rPr>
        <w:t>NABP ID number</w:t>
      </w:r>
      <w:r w:rsidRPr="00465D9F">
        <w:rPr>
          <w:rFonts w:ascii="Arial" w:eastAsia="Arial" w:hAnsi="Arial" w:cs="Arial"/>
          <w:color w:val="595959"/>
          <w:sz w:val="20"/>
          <w:szCs w:val="24"/>
        </w:rPr>
        <w:t xml:space="preserve"> and/or </w:t>
      </w:r>
      <w:r w:rsidRPr="00465D9F">
        <w:rPr>
          <w:rFonts w:ascii="Arial" w:eastAsia="Arial" w:hAnsi="Arial" w:cs="Arial"/>
          <w:b/>
          <w:color w:val="595959"/>
          <w:sz w:val="20"/>
          <w:szCs w:val="24"/>
        </w:rPr>
        <w:t>date of birth</w:t>
      </w:r>
      <w:r w:rsidRPr="00465D9F">
        <w:rPr>
          <w:rFonts w:ascii="Arial" w:eastAsia="Arial" w:hAnsi="Arial" w:cs="Arial"/>
          <w:color w:val="595959"/>
          <w:sz w:val="20"/>
          <w:szCs w:val="24"/>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74C7CA2" w14:textId="2A8896DE" w:rsidR="00465D9F" w:rsidRDefault="00465D9F">
      <w:pPr>
        <w:rPr>
          <w:rFonts w:ascii="Arial" w:hAnsi="Arial" w:cs="Arial"/>
          <w:color w:val="595959" w:themeColor="text1" w:themeTint="A6"/>
          <w:sz w:val="20"/>
          <w:szCs w:val="20"/>
        </w:rPr>
      </w:pPr>
      <w:r>
        <w:rPr>
          <w:rFonts w:ascii="Arial" w:hAnsi="Arial" w:cs="Arial"/>
          <w:color w:val="595959" w:themeColor="text1" w:themeTint="A6"/>
          <w:sz w:val="20"/>
          <w:szCs w:val="20"/>
        </w:rPr>
        <w:br w:type="page"/>
      </w:r>
    </w:p>
    <w:p w14:paraId="6CDE0118" w14:textId="301F9F0B" w:rsidR="00F43D0C" w:rsidRDefault="00F43D0C" w:rsidP="008D0B95">
      <w:pPr>
        <w:pStyle w:val="ListParagraph"/>
        <w:numPr>
          <w:ilvl w:val="0"/>
          <w:numId w:val="7"/>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Once logged in, you can review the tabs from the main course landing page:</w:t>
      </w:r>
    </w:p>
    <w:p w14:paraId="0B9F7265" w14:textId="77777777" w:rsidR="00F43D0C" w:rsidRPr="008B2E34" w:rsidRDefault="00F43D0C" w:rsidP="00F43D0C">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789EBAE4" w14:textId="77777777" w:rsidR="00F43D0C" w:rsidRPr="008B2E34" w:rsidRDefault="00F43D0C" w:rsidP="00F43D0C">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7C74AA85" w14:textId="44034CC1" w:rsidR="00F43D0C" w:rsidRPr="008D0B95" w:rsidRDefault="00F43D0C" w:rsidP="00F43D0C">
      <w:pPr>
        <w:pStyle w:val="ListParagraph"/>
        <w:numPr>
          <w:ilvl w:val="0"/>
          <w:numId w:val="7"/>
        </w:numPr>
        <w:spacing w:after="0" w:line="240" w:lineRule="auto"/>
        <w:rPr>
          <w:rFonts w:ascii="Arial" w:hAnsi="Arial" w:cs="Arial"/>
          <w:color w:val="595959" w:themeColor="text1" w:themeTint="A6"/>
          <w:sz w:val="20"/>
          <w:szCs w:val="20"/>
        </w:rPr>
      </w:pPr>
      <w:r w:rsidRPr="008D0B95">
        <w:rPr>
          <w:rFonts w:ascii="Arial" w:hAnsi="Arial" w:cs="Arial"/>
          <w:color w:val="595959" w:themeColor="text1" w:themeTint="A6"/>
          <w:sz w:val="20"/>
          <w:szCs w:val="20"/>
        </w:rPr>
        <w:t>Choose the “Obtain Credit” tab</w:t>
      </w:r>
      <w:r>
        <w:rPr>
          <w:rFonts w:ascii="Arial" w:hAnsi="Arial" w:cs="Arial"/>
          <w:color w:val="595959" w:themeColor="text1" w:themeTint="A6"/>
          <w:sz w:val="20"/>
          <w:szCs w:val="20"/>
        </w:rPr>
        <w:t xml:space="preserve"> and click on the date you participated</w:t>
      </w:r>
      <w:r w:rsidR="00E45F78">
        <w:rPr>
          <w:rFonts w:ascii="Arial" w:hAnsi="Arial" w:cs="Arial"/>
          <w:color w:val="595959" w:themeColor="text1" w:themeTint="A6"/>
          <w:sz w:val="20"/>
          <w:szCs w:val="20"/>
        </w:rPr>
        <w:t>.</w:t>
      </w:r>
    </w:p>
    <w:p w14:paraId="0813B53D" w14:textId="77777777" w:rsidR="00F43D0C" w:rsidRPr="008D0B95" w:rsidRDefault="00F43D0C" w:rsidP="00F43D0C">
      <w:pPr>
        <w:spacing w:after="0" w:line="240" w:lineRule="auto"/>
        <w:rPr>
          <w:rFonts w:ascii="Arial" w:hAnsi="Arial" w:cs="Arial"/>
          <w:color w:val="595959" w:themeColor="text1" w:themeTint="A6"/>
          <w:sz w:val="20"/>
          <w:szCs w:val="20"/>
        </w:rPr>
      </w:pPr>
    </w:p>
    <w:p w14:paraId="771CAA8A" w14:textId="77777777" w:rsidR="00F43D0C" w:rsidRPr="00FF1C05" w:rsidRDefault="00F43D0C" w:rsidP="00F43D0C">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21C777FB" w14:textId="77777777" w:rsidR="00F43D0C" w:rsidRPr="009604F1" w:rsidRDefault="00F43D0C" w:rsidP="00F43D0C">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7C5297CB" w14:textId="24CBC112" w:rsidR="00F43D0C" w:rsidRPr="009604F1" w:rsidRDefault="00F43D0C" w:rsidP="00F43D0C">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 xml:space="preserve">Choose the </w:t>
      </w:r>
      <w:r w:rsidRPr="00AE1317">
        <w:rPr>
          <w:rFonts w:ascii="Arial" w:hAnsi="Arial" w:cs="Arial"/>
          <w:color w:val="595959" w:themeColor="text1" w:themeTint="A6"/>
          <w:sz w:val="20"/>
          <w:szCs w:val="20"/>
        </w:rPr>
        <w:t xml:space="preserve">“Obtain Credit” tab and click on the </w:t>
      </w:r>
      <w:r>
        <w:rPr>
          <w:rFonts w:ascii="Arial" w:hAnsi="Arial" w:cs="Arial"/>
          <w:color w:val="595959" w:themeColor="text1" w:themeTint="A6"/>
          <w:sz w:val="20"/>
          <w:szCs w:val="20"/>
        </w:rPr>
        <w:t>date you participated.</w:t>
      </w:r>
    </w:p>
    <w:p w14:paraId="07964F1F" w14:textId="77777777" w:rsidR="00F43D0C" w:rsidRPr="009604F1" w:rsidRDefault="00F43D0C" w:rsidP="00F43D0C">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12CD73A1" w14:textId="77777777" w:rsidR="00F43D0C" w:rsidRPr="00F22AAD" w:rsidRDefault="00F43D0C" w:rsidP="00F22AAD">
      <w:pPr>
        <w:spacing w:after="0" w:line="240" w:lineRule="auto"/>
        <w:rPr>
          <w:rFonts w:ascii="Arial" w:hAnsi="Arial" w:cs="Arial"/>
          <w:color w:val="595959" w:themeColor="text1" w:themeTint="A6"/>
          <w:sz w:val="20"/>
          <w:szCs w:val="20"/>
        </w:rPr>
      </w:pPr>
    </w:p>
    <w:p w14:paraId="6495369B" w14:textId="72E279E4" w:rsidR="00271DF3" w:rsidRPr="008B2E34" w:rsidRDefault="00F22AAD" w:rsidP="00F22AAD">
      <w:pPr>
        <w:pStyle w:val="ListParagraph"/>
        <w:numPr>
          <w:ilvl w:val="0"/>
          <w:numId w:val="9"/>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You may now review the tabs for the session date you selected:</w:t>
      </w:r>
    </w:p>
    <w:p w14:paraId="4B5CBD03" w14:textId="77777777" w:rsidR="00271DF3" w:rsidRPr="008B2E34" w:rsidRDefault="00271DF3" w:rsidP="00F22AAD">
      <w:pPr>
        <w:pStyle w:val="ListParagraph"/>
        <w:numPr>
          <w:ilvl w:val="1"/>
          <w:numId w:val="9"/>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F22AAD">
      <w:pPr>
        <w:pStyle w:val="ListParagraph"/>
        <w:numPr>
          <w:ilvl w:val="1"/>
          <w:numId w:val="9"/>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F22AAD">
      <w:pPr>
        <w:pStyle w:val="ListParagraph"/>
        <w:numPr>
          <w:ilvl w:val="1"/>
          <w:numId w:val="9"/>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F22AAD">
      <w:pPr>
        <w:pStyle w:val="ListParagraph"/>
        <w:numPr>
          <w:ilvl w:val="1"/>
          <w:numId w:val="9"/>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F22AAD">
      <w:pPr>
        <w:pStyle w:val="ListParagraph"/>
        <w:numPr>
          <w:ilvl w:val="1"/>
          <w:numId w:val="9"/>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51E245A" w14:textId="3BFFC9B9" w:rsidR="00271DF3" w:rsidRPr="008D0B95" w:rsidRDefault="008F135E" w:rsidP="00F22AAD">
      <w:pPr>
        <w:pStyle w:val="ListParagraph"/>
        <w:numPr>
          <w:ilvl w:val="0"/>
          <w:numId w:val="9"/>
        </w:numPr>
        <w:spacing w:after="0" w:line="240" w:lineRule="auto"/>
        <w:rPr>
          <w:rFonts w:ascii="Arial" w:hAnsi="Arial" w:cs="Arial"/>
          <w:color w:val="595959" w:themeColor="text1" w:themeTint="A6"/>
          <w:sz w:val="20"/>
          <w:szCs w:val="20"/>
        </w:rPr>
      </w:pPr>
      <w:r w:rsidRPr="008D0B95">
        <w:rPr>
          <w:rFonts w:ascii="Arial" w:hAnsi="Arial" w:cs="Arial"/>
          <w:color w:val="595959" w:themeColor="text1" w:themeTint="A6"/>
          <w:sz w:val="20"/>
          <w:szCs w:val="20"/>
        </w:rPr>
        <w:t>Cho</w:t>
      </w:r>
      <w:r w:rsidR="00C753F8" w:rsidRPr="008D0B95">
        <w:rPr>
          <w:rFonts w:ascii="Arial" w:hAnsi="Arial" w:cs="Arial"/>
          <w:color w:val="595959" w:themeColor="text1" w:themeTint="A6"/>
          <w:sz w:val="20"/>
          <w:szCs w:val="20"/>
        </w:rPr>
        <w:t>o</w:t>
      </w:r>
      <w:r w:rsidRPr="008D0B95">
        <w:rPr>
          <w:rFonts w:ascii="Arial" w:hAnsi="Arial" w:cs="Arial"/>
          <w:color w:val="595959" w:themeColor="text1" w:themeTint="A6"/>
          <w:sz w:val="20"/>
          <w:szCs w:val="20"/>
        </w:rPr>
        <w:t xml:space="preserve">se the </w:t>
      </w:r>
      <w:bookmarkStart w:id="0" w:name="_Hlk68506611"/>
      <w:r w:rsidRPr="008D0B95">
        <w:rPr>
          <w:rFonts w:ascii="Arial" w:hAnsi="Arial" w:cs="Arial"/>
          <w:color w:val="595959" w:themeColor="text1" w:themeTint="A6"/>
          <w:sz w:val="20"/>
          <w:szCs w:val="20"/>
        </w:rPr>
        <w:t>“Obtain C</w:t>
      </w:r>
      <w:r w:rsidR="00271DF3" w:rsidRPr="008D0B95">
        <w:rPr>
          <w:rFonts w:ascii="Arial" w:hAnsi="Arial" w:cs="Arial"/>
          <w:color w:val="595959" w:themeColor="text1" w:themeTint="A6"/>
          <w:sz w:val="20"/>
          <w:szCs w:val="20"/>
        </w:rPr>
        <w:t>redit” tab</w:t>
      </w:r>
      <w:r w:rsidR="00380AED">
        <w:rPr>
          <w:rFonts w:ascii="Arial" w:hAnsi="Arial" w:cs="Arial"/>
          <w:color w:val="595959" w:themeColor="text1" w:themeTint="A6"/>
          <w:sz w:val="20"/>
          <w:szCs w:val="20"/>
        </w:rPr>
        <w:t xml:space="preserve"> </w:t>
      </w:r>
      <w:r w:rsidR="00F22AAD">
        <w:rPr>
          <w:rFonts w:ascii="Arial" w:hAnsi="Arial" w:cs="Arial"/>
          <w:color w:val="595959" w:themeColor="text1" w:themeTint="A6"/>
          <w:sz w:val="20"/>
          <w:szCs w:val="20"/>
        </w:rPr>
        <w:t xml:space="preserve">again </w:t>
      </w:r>
      <w:r w:rsidR="00380AED">
        <w:rPr>
          <w:rFonts w:ascii="Arial" w:hAnsi="Arial" w:cs="Arial"/>
          <w:color w:val="595959" w:themeColor="text1" w:themeTint="A6"/>
          <w:sz w:val="20"/>
          <w:szCs w:val="20"/>
        </w:rPr>
        <w:t xml:space="preserve">and click on the orange Obtain Credit </w:t>
      </w:r>
      <w:r w:rsidR="00F22AAD">
        <w:rPr>
          <w:rFonts w:ascii="Arial" w:hAnsi="Arial" w:cs="Arial"/>
          <w:color w:val="595959" w:themeColor="text1" w:themeTint="A6"/>
          <w:sz w:val="20"/>
          <w:szCs w:val="20"/>
        </w:rPr>
        <w:t>button</w:t>
      </w:r>
      <w:bookmarkEnd w:id="0"/>
    </w:p>
    <w:p w14:paraId="50657686" w14:textId="5C1788C5" w:rsidR="00271DF3" w:rsidRPr="00D3053E" w:rsidRDefault="00271DF3" w:rsidP="00F22AAD">
      <w:pPr>
        <w:pStyle w:val="ListParagraph"/>
        <w:numPr>
          <w:ilvl w:val="0"/>
          <w:numId w:val="9"/>
        </w:numPr>
        <w:spacing w:after="0" w:line="240" w:lineRule="auto"/>
        <w:rPr>
          <w:rFonts w:ascii="Arial" w:hAnsi="Arial" w:cs="Arial"/>
          <w:b/>
          <w:bCs/>
          <w:color w:val="595959" w:themeColor="text1" w:themeTint="A6"/>
          <w:sz w:val="20"/>
          <w:szCs w:val="20"/>
        </w:rPr>
      </w:pPr>
      <w:r w:rsidRPr="008D0B95">
        <w:rPr>
          <w:rFonts w:ascii="Arial" w:hAnsi="Arial" w:cs="Arial"/>
          <w:color w:val="595959" w:themeColor="text1" w:themeTint="A6"/>
          <w:sz w:val="20"/>
          <w:szCs w:val="20"/>
        </w:rPr>
        <w:t xml:space="preserve">Follow the instructions below.  You must complete this process no later than </w:t>
      </w:r>
      <w:r w:rsidR="00F22AAD">
        <w:rPr>
          <w:rFonts w:ascii="Arial" w:hAnsi="Arial" w:cs="Arial"/>
          <w:b/>
          <w:bCs/>
          <w:color w:val="595959" w:themeColor="text1" w:themeTint="A6"/>
          <w:sz w:val="20"/>
          <w:szCs w:val="20"/>
        </w:rPr>
        <w:t>June 14</w:t>
      </w:r>
      <w:r w:rsidR="008007C3" w:rsidRPr="00D3053E">
        <w:rPr>
          <w:rFonts w:ascii="Arial" w:hAnsi="Arial" w:cs="Arial"/>
          <w:b/>
          <w:bCs/>
          <w:color w:val="595959" w:themeColor="text1" w:themeTint="A6"/>
          <w:sz w:val="20"/>
          <w:szCs w:val="20"/>
        </w:rPr>
        <w:t>, 2021</w:t>
      </w:r>
    </w:p>
    <w:p w14:paraId="5F80C6BF" w14:textId="77777777" w:rsidR="0062064D" w:rsidRPr="008D0B95" w:rsidRDefault="0062064D" w:rsidP="0062064D">
      <w:pPr>
        <w:spacing w:after="0" w:line="240" w:lineRule="auto"/>
        <w:rPr>
          <w:rFonts w:ascii="Arial" w:hAnsi="Arial" w:cs="Arial"/>
          <w:color w:val="595959" w:themeColor="text1" w:themeTint="A6"/>
          <w:sz w:val="20"/>
          <w:szCs w:val="20"/>
        </w:rPr>
      </w:pP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823E6A3"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1F83E8D1" w:rsidR="00616F13" w:rsidRPr="003D4E1B"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3D4E1B">
        <w:rPr>
          <w:rFonts w:ascii="Arial" w:hAnsi="Arial" w:cs="Arial"/>
          <w:color w:val="595959" w:themeColor="text1" w:themeTint="A6"/>
          <w:sz w:val="20"/>
          <w:szCs w:val="20"/>
        </w:rPr>
        <w:t xml:space="preserve">Under course progress, </w:t>
      </w:r>
      <w:r w:rsidR="00B54436" w:rsidRPr="003D4E1B">
        <w:rPr>
          <w:rFonts w:ascii="Arial" w:hAnsi="Arial" w:cs="Arial"/>
          <w:color w:val="595959" w:themeColor="text1" w:themeTint="A6"/>
          <w:sz w:val="20"/>
          <w:szCs w:val="20"/>
        </w:rPr>
        <w:t xml:space="preserve">click on the </w:t>
      </w:r>
      <w:r w:rsidR="00E45F78">
        <w:rPr>
          <w:rFonts w:ascii="Arial" w:hAnsi="Arial" w:cs="Arial"/>
          <w:color w:val="595959" w:themeColor="text1" w:themeTint="A6"/>
          <w:sz w:val="20"/>
          <w:szCs w:val="20"/>
        </w:rPr>
        <w:t>first item to access the evaluation for your participation date</w:t>
      </w:r>
    </w:p>
    <w:p w14:paraId="12885502" w14:textId="77777777"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evaluation</w:t>
      </w:r>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“Start”</w:t>
      </w:r>
    </w:p>
    <w:p w14:paraId="16E05EE4" w14:textId="38FF38A3"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Claim your type of credit –</w:t>
      </w:r>
      <w:r w:rsidR="00EA6DA0" w:rsidRPr="008B2E34">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AMA PRA (physician), A</w:t>
      </w:r>
      <w:r w:rsidR="008B2E34">
        <w:rPr>
          <w:rFonts w:ascii="Arial" w:hAnsi="Arial" w:cs="Arial"/>
          <w:b/>
          <w:color w:val="595959" w:themeColor="text1" w:themeTint="A6"/>
          <w:sz w:val="20"/>
          <w:szCs w:val="20"/>
        </w:rPr>
        <w:t xml:space="preserve">NCC (nursing), </w:t>
      </w:r>
      <w:r w:rsidR="008007C3">
        <w:rPr>
          <w:rFonts w:ascii="Arial" w:hAnsi="Arial" w:cs="Arial"/>
          <w:b/>
          <w:color w:val="595959" w:themeColor="text1" w:themeTint="A6"/>
          <w:sz w:val="20"/>
          <w:szCs w:val="20"/>
        </w:rPr>
        <w:t>ACPE Pharmacy (p</w:t>
      </w:r>
      <w:r w:rsidR="008007C3" w:rsidRPr="008B2E34">
        <w:rPr>
          <w:rFonts w:ascii="Arial" w:hAnsi="Arial" w:cs="Arial"/>
          <w:b/>
          <w:color w:val="595959" w:themeColor="text1" w:themeTint="A6"/>
          <w:sz w:val="20"/>
          <w:szCs w:val="20"/>
        </w:rPr>
        <w:t>harma</w:t>
      </w:r>
      <w:r w:rsidR="008007C3">
        <w:rPr>
          <w:rFonts w:ascii="Arial" w:hAnsi="Arial" w:cs="Arial"/>
          <w:b/>
          <w:color w:val="595959" w:themeColor="text1" w:themeTint="A6"/>
          <w:sz w:val="20"/>
          <w:szCs w:val="20"/>
        </w:rPr>
        <w:t xml:space="preserve">cist), ACPE Technician (pharmacy technician), </w:t>
      </w:r>
      <w:r w:rsidR="00464F67" w:rsidRPr="008B2E34">
        <w:rPr>
          <w:rFonts w:ascii="Arial" w:hAnsi="Arial" w:cs="Arial"/>
          <w:b/>
          <w:color w:val="595959" w:themeColor="text1" w:themeTint="A6"/>
          <w:sz w:val="20"/>
          <w:szCs w:val="20"/>
        </w:rPr>
        <w:t xml:space="preserve">and </w:t>
      </w:r>
      <w:r w:rsidR="002F4520" w:rsidRPr="008B2E34">
        <w:rPr>
          <w:rFonts w:ascii="Arial" w:hAnsi="Arial" w:cs="Arial"/>
          <w:b/>
          <w:color w:val="595959" w:themeColor="text1" w:themeTint="A6"/>
          <w:sz w:val="20"/>
          <w:szCs w:val="20"/>
        </w:rPr>
        <w:t>General CEU</w:t>
      </w:r>
    </w:p>
    <w:p w14:paraId="38A51B28" w14:textId="0D783E1A"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In the credits field, enter the amount of credit to claim</w:t>
      </w:r>
    </w:p>
    <w:p w14:paraId="310FAE91"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the box “I agree that I am only claiming credit commensurate with the extent of my participation in the activity”</w:t>
      </w:r>
    </w:p>
    <w:p w14:paraId="41A8ACC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submit</w:t>
      </w:r>
    </w:p>
    <w:p w14:paraId="7EF8CEF7" w14:textId="77777777" w:rsidR="00271DF3" w:rsidRPr="008B2E34" w:rsidRDefault="00271DF3" w:rsidP="008B2E34">
      <w:pPr>
        <w:spacing w:after="0"/>
        <w:rPr>
          <w:rFonts w:ascii="Arial" w:hAnsi="Arial" w:cs="Arial"/>
          <w:color w:val="595959" w:themeColor="text1" w:themeTint="A6"/>
          <w:sz w:val="20"/>
          <w:szCs w:val="20"/>
        </w:rPr>
      </w:pPr>
    </w:p>
    <w:p w14:paraId="2A28CBEC" w14:textId="5DB19C79"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CERTIFICATE INSTRUCTIONS</w:t>
      </w:r>
      <w:r w:rsidR="00794A21" w:rsidRPr="00F31BD9">
        <w:rPr>
          <w:rFonts w:ascii="Arial" w:hAnsi="Arial" w:cs="Arial"/>
          <w:color w:val="595959" w:themeColor="text1" w:themeTint="A6"/>
          <w:sz w:val="20"/>
          <w:szCs w:val="20"/>
        </w:rPr>
        <w:t xml:space="preserve"> </w:t>
      </w:r>
      <w:r w:rsidR="00794A21" w:rsidRPr="00F31BD9">
        <w:rPr>
          <w:rFonts w:ascii="Arial" w:hAnsi="Arial" w:cs="Arial"/>
          <w:bCs/>
          <w:color w:val="595959" w:themeColor="text1" w:themeTint="A6"/>
          <w:sz w:val="20"/>
          <w:szCs w:val="20"/>
        </w:rPr>
        <w:t>(</w:t>
      </w:r>
      <w:r w:rsidR="00F31BD9" w:rsidRPr="00F31BD9">
        <w:rPr>
          <w:rFonts w:ascii="Arial" w:hAnsi="Arial" w:cs="Arial"/>
          <w:bCs/>
          <w:color w:val="595959" w:themeColor="text1" w:themeTint="A6"/>
          <w:sz w:val="20"/>
          <w:szCs w:val="20"/>
        </w:rPr>
        <w:t>OPTIONAL</w:t>
      </w:r>
      <w:r w:rsidR="00794A21" w:rsidRPr="00F31BD9">
        <w:rPr>
          <w:rFonts w:ascii="Arial" w:hAnsi="Arial" w:cs="Arial"/>
          <w:bCs/>
          <w:color w:val="595959" w:themeColor="text1" w:themeTint="A6"/>
          <w:sz w:val="20"/>
          <w:szCs w:val="20"/>
        </w:rPr>
        <w:t>)</w:t>
      </w:r>
      <w:r w:rsidRPr="00F31BD9">
        <w:rPr>
          <w:rFonts w:ascii="Arial" w:hAnsi="Arial" w:cs="Arial"/>
          <w:color w:val="595959" w:themeColor="text1" w:themeTint="A6"/>
          <w:sz w:val="20"/>
          <w:szCs w:val="20"/>
        </w:rPr>
        <w:t>:</w:t>
      </w:r>
    </w:p>
    <w:p w14:paraId="7A23EFAD"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Select the “Certificate” tab and choose “Start”</w:t>
      </w:r>
    </w:p>
    <w:p w14:paraId="4FAEC2F9" w14:textId="7B9AAB91" w:rsidR="00271DF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the link “download certificate”</w:t>
      </w:r>
    </w:p>
    <w:p w14:paraId="7E7A9F7F" w14:textId="452FED1C" w:rsidR="007E0BA0" w:rsidRDefault="007E0BA0" w:rsidP="007E0BA0">
      <w:pPr>
        <w:spacing w:after="0" w:line="240" w:lineRule="auto"/>
        <w:rPr>
          <w:rFonts w:ascii="Arial" w:hAnsi="Arial" w:cs="Arial"/>
          <w:color w:val="595959" w:themeColor="text1" w:themeTint="A6"/>
          <w:sz w:val="20"/>
          <w:szCs w:val="20"/>
        </w:rPr>
      </w:pPr>
    </w:p>
    <w:p w14:paraId="7D537045" w14:textId="1A81D20E" w:rsidR="00B62717" w:rsidRPr="00B62717" w:rsidRDefault="00B62717" w:rsidP="00B62717">
      <w:pPr>
        <w:spacing w:after="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CERTIFICATES FOR PHARMACISTS AND PHARMACY TECHNICIANS: </w:t>
      </w:r>
    </w:p>
    <w:p w14:paraId="050707A6"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CPE Monitor prohibits claiming both pharmacist and pharmacy technician CE credit.</w:t>
      </w:r>
    </w:p>
    <w:p w14:paraId="79BD1317"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13" w:history="1">
        <w:r w:rsidRPr="00B62717">
          <w:rPr>
            <w:rStyle w:val="Hyperlink"/>
            <w:rFonts w:ascii="Arial" w:hAnsi="Arial" w:cs="Arial"/>
            <w:color w:val="595959" w:themeColor="text1" w:themeTint="A6"/>
            <w:sz w:val="20"/>
            <w:szCs w:val="20"/>
          </w:rPr>
          <w:t>www.mycpemonitor.net</w:t>
        </w:r>
      </w:hyperlink>
      <w:r w:rsidRPr="00B62717">
        <w:rPr>
          <w:rFonts w:ascii="Arial" w:hAnsi="Arial" w:cs="Arial"/>
          <w:color w:val="595959" w:themeColor="text1" w:themeTint="A6"/>
          <w:sz w:val="20"/>
          <w:szCs w:val="20"/>
        </w:rPr>
        <w:t xml:space="preserve"> or </w:t>
      </w:r>
      <w:hyperlink r:id="rId14" w:history="1">
        <w:r w:rsidRPr="00B62717">
          <w:rPr>
            <w:rStyle w:val="Hyperlink"/>
            <w:rFonts w:ascii="Arial" w:hAnsi="Arial" w:cs="Arial"/>
            <w:color w:val="595959" w:themeColor="text1" w:themeTint="A6"/>
            <w:sz w:val="20"/>
            <w:szCs w:val="20"/>
          </w:rPr>
          <w:t>www.nabp.net</w:t>
        </w:r>
      </w:hyperlink>
      <w:r w:rsidRPr="00B62717">
        <w:rPr>
          <w:rFonts w:ascii="Arial" w:hAnsi="Arial" w:cs="Arial"/>
          <w:color w:val="595959" w:themeColor="text1" w:themeTint="A6"/>
          <w:sz w:val="20"/>
          <w:szCs w:val="20"/>
        </w:rPr>
        <w:t>.</w:t>
      </w:r>
    </w:p>
    <w:p w14:paraId="65924480"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5AA815A6" w14:textId="77777777" w:rsidR="00B62717" w:rsidRPr="008B2E34" w:rsidRDefault="00B62717" w:rsidP="007E0BA0">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77777777"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My Account to view your transcript, view your courses or to edit your profile</w:t>
      </w:r>
    </w:p>
    <w:p w14:paraId="468383D9" w14:textId="77777777"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access</w:t>
      </w:r>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5"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206C" w14:textId="77777777" w:rsidR="00CB2D00" w:rsidRDefault="00CB2D00">
      <w:pPr>
        <w:spacing w:after="0" w:line="240" w:lineRule="auto"/>
      </w:pPr>
      <w:r>
        <w:separator/>
      </w:r>
    </w:p>
  </w:endnote>
  <w:endnote w:type="continuationSeparator" w:id="0">
    <w:p w14:paraId="40B3D7B5" w14:textId="77777777" w:rsidR="00CB2D00" w:rsidRDefault="00CB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2CC1" w14:textId="77777777" w:rsidR="00CB2D00" w:rsidRDefault="00CB2D00">
      <w:pPr>
        <w:spacing w:after="0" w:line="240" w:lineRule="auto"/>
      </w:pPr>
      <w:r>
        <w:separator/>
      </w:r>
    </w:p>
  </w:footnote>
  <w:footnote w:type="continuationSeparator" w:id="0">
    <w:p w14:paraId="3F1A2B49" w14:textId="77777777" w:rsidR="00CB2D00" w:rsidRDefault="00CB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338A3"/>
    <w:multiLevelType w:val="hybridMultilevel"/>
    <w:tmpl w:val="263AD6B6"/>
    <w:lvl w:ilvl="0" w:tplc="FC6075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7DE6"/>
    <w:multiLevelType w:val="hybridMultilevel"/>
    <w:tmpl w:val="263AD6B6"/>
    <w:lvl w:ilvl="0" w:tplc="FC6075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956EF"/>
    <w:multiLevelType w:val="hybridMultilevel"/>
    <w:tmpl w:val="989C1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0"/>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14358"/>
    <w:rsid w:val="0002157A"/>
    <w:rsid w:val="00025C2C"/>
    <w:rsid w:val="00043B96"/>
    <w:rsid w:val="00075574"/>
    <w:rsid w:val="000B624F"/>
    <w:rsid w:val="000D3571"/>
    <w:rsid w:val="000F083F"/>
    <w:rsid w:val="000F1D70"/>
    <w:rsid w:val="00100BBE"/>
    <w:rsid w:val="001B60CF"/>
    <w:rsid w:val="001C2010"/>
    <w:rsid w:val="002100A1"/>
    <w:rsid w:val="00233A63"/>
    <w:rsid w:val="002506D7"/>
    <w:rsid w:val="00271DF3"/>
    <w:rsid w:val="002A0245"/>
    <w:rsid w:val="002B6FE3"/>
    <w:rsid w:val="002D0258"/>
    <w:rsid w:val="002D18CF"/>
    <w:rsid w:val="002D72F4"/>
    <w:rsid w:val="002F4520"/>
    <w:rsid w:val="0034092A"/>
    <w:rsid w:val="003423AE"/>
    <w:rsid w:val="00380AED"/>
    <w:rsid w:val="003910ED"/>
    <w:rsid w:val="003A1EF4"/>
    <w:rsid w:val="003C3700"/>
    <w:rsid w:val="003C7EB5"/>
    <w:rsid w:val="003D4E1B"/>
    <w:rsid w:val="004017A2"/>
    <w:rsid w:val="00415DD5"/>
    <w:rsid w:val="00421249"/>
    <w:rsid w:val="00464F67"/>
    <w:rsid w:val="00465D9F"/>
    <w:rsid w:val="00467C13"/>
    <w:rsid w:val="004B01AC"/>
    <w:rsid w:val="004F0F2B"/>
    <w:rsid w:val="00545FD1"/>
    <w:rsid w:val="005632C7"/>
    <w:rsid w:val="00590353"/>
    <w:rsid w:val="005A46A6"/>
    <w:rsid w:val="005E1150"/>
    <w:rsid w:val="005E1D15"/>
    <w:rsid w:val="00600857"/>
    <w:rsid w:val="00616F13"/>
    <w:rsid w:val="0062064D"/>
    <w:rsid w:val="00626A6C"/>
    <w:rsid w:val="0063699A"/>
    <w:rsid w:val="00641200"/>
    <w:rsid w:val="006430D4"/>
    <w:rsid w:val="006641DD"/>
    <w:rsid w:val="0067613C"/>
    <w:rsid w:val="006B4701"/>
    <w:rsid w:val="007027AD"/>
    <w:rsid w:val="00725825"/>
    <w:rsid w:val="007324A4"/>
    <w:rsid w:val="00736C3D"/>
    <w:rsid w:val="00745F96"/>
    <w:rsid w:val="007834FD"/>
    <w:rsid w:val="007938C3"/>
    <w:rsid w:val="00794A21"/>
    <w:rsid w:val="007E0BA0"/>
    <w:rsid w:val="008007C3"/>
    <w:rsid w:val="00830233"/>
    <w:rsid w:val="00832D29"/>
    <w:rsid w:val="008368D2"/>
    <w:rsid w:val="00872732"/>
    <w:rsid w:val="008B1CED"/>
    <w:rsid w:val="008B2E34"/>
    <w:rsid w:val="008C08F6"/>
    <w:rsid w:val="008C71DA"/>
    <w:rsid w:val="008D0B95"/>
    <w:rsid w:val="008F135E"/>
    <w:rsid w:val="00936EAB"/>
    <w:rsid w:val="00955A6A"/>
    <w:rsid w:val="009E2F04"/>
    <w:rsid w:val="009F64E6"/>
    <w:rsid w:val="00A1181B"/>
    <w:rsid w:val="00A229CB"/>
    <w:rsid w:val="00A94D22"/>
    <w:rsid w:val="00AB78A4"/>
    <w:rsid w:val="00AE1068"/>
    <w:rsid w:val="00AE1317"/>
    <w:rsid w:val="00AE6431"/>
    <w:rsid w:val="00AE6B25"/>
    <w:rsid w:val="00B353AD"/>
    <w:rsid w:val="00B44EEA"/>
    <w:rsid w:val="00B54436"/>
    <w:rsid w:val="00B62717"/>
    <w:rsid w:val="00B633FB"/>
    <w:rsid w:val="00BD4542"/>
    <w:rsid w:val="00BE423B"/>
    <w:rsid w:val="00BF7668"/>
    <w:rsid w:val="00C36568"/>
    <w:rsid w:val="00C753F8"/>
    <w:rsid w:val="00C83B7D"/>
    <w:rsid w:val="00CA1E18"/>
    <w:rsid w:val="00CB0B74"/>
    <w:rsid w:val="00CB2D00"/>
    <w:rsid w:val="00CD08F1"/>
    <w:rsid w:val="00CE4FAB"/>
    <w:rsid w:val="00D0117B"/>
    <w:rsid w:val="00D3053E"/>
    <w:rsid w:val="00D463A3"/>
    <w:rsid w:val="00D50976"/>
    <w:rsid w:val="00D607EB"/>
    <w:rsid w:val="00D7256B"/>
    <w:rsid w:val="00D85CAF"/>
    <w:rsid w:val="00DA51C5"/>
    <w:rsid w:val="00DB20EF"/>
    <w:rsid w:val="00DB2401"/>
    <w:rsid w:val="00DC0709"/>
    <w:rsid w:val="00DC2E96"/>
    <w:rsid w:val="00DE7C46"/>
    <w:rsid w:val="00E45F78"/>
    <w:rsid w:val="00E6116D"/>
    <w:rsid w:val="00EA6DA0"/>
    <w:rsid w:val="00EC14B3"/>
    <w:rsid w:val="00F034DA"/>
    <w:rsid w:val="00F22AAD"/>
    <w:rsid w:val="00F31BD9"/>
    <w:rsid w:val="00F31EA1"/>
    <w:rsid w:val="00F43D0C"/>
    <w:rsid w:val="00F60E01"/>
    <w:rsid w:val="00FB5A1F"/>
    <w:rsid w:val="00FD08B8"/>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23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zientSupport@Vizientinc.com" TargetMode="External"/><Relationship Id="rId13" Type="http://schemas.openxmlformats.org/officeDocument/2006/relationships/hyperlink" Target="http://www.mycpemonito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p.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pemonitor.net" TargetMode="External"/><Relationship Id="rId5" Type="http://schemas.openxmlformats.org/officeDocument/2006/relationships/webSettings" Target="webSettings.xml"/><Relationship Id="rId15" Type="http://schemas.openxmlformats.org/officeDocument/2006/relationships/hyperlink" Target="mailto:continuingeducation@vizientinc.com" TargetMode="External"/><Relationship Id="rId10" Type="http://schemas.openxmlformats.org/officeDocument/2006/relationships/hyperlink" Target="http://apps.vizientinc.com/userregistration/site/cv/" TargetMode="External"/><Relationship Id="rId4" Type="http://schemas.openxmlformats.org/officeDocument/2006/relationships/settings" Target="settings.xml"/><Relationship Id="rId9" Type="http://schemas.openxmlformats.org/officeDocument/2006/relationships/hyperlink" Target="http://apps.vizientinc.com/userregistration/site/cv/" TargetMode="External"/><Relationship Id="rId14" Type="http://schemas.openxmlformats.org/officeDocument/2006/relationships/hyperlink" Target="http://www.nab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EE8D-24F9-4682-95C9-1EE56415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Vanderpool,Richard</cp:lastModifiedBy>
  <cp:revision>5</cp:revision>
  <dcterms:created xsi:type="dcterms:W3CDTF">2021-04-05T15:18:00Z</dcterms:created>
  <dcterms:modified xsi:type="dcterms:W3CDTF">2021-04-06T16:01:00Z</dcterms:modified>
</cp:coreProperties>
</file>