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E50ECC4"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6D4CF4" w:rsidRPr="006D4CF4">
        <w:rPr>
          <w:noProof/>
        </w:rPr>
        <w:t>2020 Advanced Accreditation Education Series - Record of Care Trials and Tribulations</w:t>
      </w:r>
    </w:p>
    <w:p w14:paraId="17877713" w14:textId="262DE60F"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85611B">
        <w:rPr>
          <w:rFonts w:ascii="Calibri" w:hAnsi="Calibri" w:cs="Calibri"/>
        </w:rPr>
        <w:t>April 27, 2020</w:t>
      </w:r>
    </w:p>
    <w:p w14:paraId="3185BDDC" w14:textId="77777777" w:rsidR="005B4DAF" w:rsidRDefault="005B4DAF" w:rsidP="008730EB">
      <w:pPr>
        <w:spacing w:line="276" w:lineRule="auto"/>
        <w:rPr>
          <w:rFonts w:ascii="Calibri" w:hAnsi="Calibri" w:cs="Calibri"/>
          <w:color w:val="696969"/>
          <w:szCs w:val="20"/>
        </w:rPr>
      </w:pPr>
      <w:r w:rsidRPr="005B4DAF">
        <w:rPr>
          <w:rFonts w:ascii="Calibri" w:hAnsi="Calibri" w:cs="Calibri"/>
          <w:color w:val="696969"/>
          <w:szCs w:val="20"/>
        </w:rPr>
        <w:t>Course director: Natalie Webb, MHA, RN, CPHQ</w:t>
      </w:r>
    </w:p>
    <w:p w14:paraId="697C1B37" w14:textId="77777777" w:rsidR="005B4DAF" w:rsidRDefault="005B4DAF" w:rsidP="008730EB">
      <w:pPr>
        <w:spacing w:line="276" w:lineRule="auto"/>
        <w:rPr>
          <w:rFonts w:ascii="Calibri" w:hAnsi="Calibri" w:cs="Calibri"/>
          <w:color w:val="696969"/>
          <w:szCs w:val="20"/>
        </w:rPr>
      </w:pPr>
    </w:p>
    <w:p w14:paraId="04254163" w14:textId="72D17B82"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147B00D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85611B">
        <w:rPr>
          <w:rFonts w:ascii="Calibri" w:hAnsi="Calibri" w:cs="Calibri"/>
          <w:color w:val="696969"/>
          <w:szCs w:val="20"/>
        </w:rPr>
        <w:t>June 11, 2020</w:t>
      </w:r>
    </w:p>
    <w:p w14:paraId="52C71BAC" w14:textId="77777777" w:rsidR="006927BD" w:rsidRPr="00251281" w:rsidRDefault="006927BD" w:rsidP="006927BD">
      <w:pPr>
        <w:rPr>
          <w:rFonts w:ascii="Calibri" w:hAnsi="Calibri" w:cs="Calibri"/>
          <w:szCs w:val="20"/>
        </w:rPr>
      </w:pPr>
    </w:p>
    <w:p w14:paraId="3B7D6B5A" w14:textId="5BCF3164"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85611B">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67482D3A" w14:textId="77777777" w:rsidR="0085611B" w:rsidRPr="0085611B" w:rsidRDefault="0085611B" w:rsidP="0085611B">
      <w:pPr>
        <w:pStyle w:val="ListParagraph"/>
        <w:numPr>
          <w:ilvl w:val="0"/>
          <w:numId w:val="50"/>
        </w:numPr>
        <w:rPr>
          <w:rFonts w:ascii="Calibri" w:eastAsia="Calibri" w:hAnsi="Calibri" w:cs="Calibri"/>
          <w:color w:val="595959" w:themeColor="text1" w:themeTint="A6"/>
          <w:szCs w:val="20"/>
        </w:rPr>
      </w:pPr>
      <w:r w:rsidRPr="0085611B">
        <w:rPr>
          <w:rFonts w:ascii="Calibri" w:eastAsia="Calibri" w:hAnsi="Calibri" w:cs="Calibri"/>
          <w:color w:val="595959" w:themeColor="text1" w:themeTint="A6"/>
          <w:szCs w:val="20"/>
        </w:rPr>
        <w:t>Identify the CMS Waivers related to clinical documentation.</w:t>
      </w:r>
    </w:p>
    <w:p w14:paraId="56FBFDE9" w14:textId="77777777" w:rsidR="0085611B" w:rsidRPr="0085611B" w:rsidRDefault="0085611B" w:rsidP="0085611B">
      <w:pPr>
        <w:pStyle w:val="ListParagraph"/>
        <w:numPr>
          <w:ilvl w:val="0"/>
          <w:numId w:val="50"/>
        </w:numPr>
        <w:rPr>
          <w:rFonts w:ascii="Calibri" w:eastAsia="Calibri" w:hAnsi="Calibri" w:cs="Calibri"/>
          <w:color w:val="595959" w:themeColor="text1" w:themeTint="A6"/>
          <w:szCs w:val="20"/>
        </w:rPr>
      </w:pPr>
      <w:r w:rsidRPr="0085611B">
        <w:rPr>
          <w:rFonts w:ascii="Calibri" w:eastAsia="Calibri" w:hAnsi="Calibri" w:cs="Calibri"/>
          <w:color w:val="595959" w:themeColor="text1" w:themeTint="A6"/>
          <w:szCs w:val="20"/>
        </w:rPr>
        <w:t xml:space="preserve">Describe the current impact of Covid-19 Public Health Emergency on documentation requirements and challenges. </w:t>
      </w:r>
    </w:p>
    <w:p w14:paraId="1C48A671" w14:textId="77777777" w:rsidR="0085611B" w:rsidRPr="0085611B" w:rsidRDefault="0085611B" w:rsidP="0085611B">
      <w:pPr>
        <w:pStyle w:val="ListParagraph"/>
        <w:numPr>
          <w:ilvl w:val="0"/>
          <w:numId w:val="50"/>
        </w:numPr>
        <w:rPr>
          <w:rFonts w:ascii="Calibri" w:eastAsia="Calibri" w:hAnsi="Calibri" w:cs="Calibri"/>
          <w:color w:val="595959" w:themeColor="text1" w:themeTint="A6"/>
          <w:szCs w:val="20"/>
        </w:rPr>
      </w:pPr>
      <w:r w:rsidRPr="0085611B">
        <w:rPr>
          <w:rFonts w:ascii="Calibri" w:eastAsia="Calibri" w:hAnsi="Calibri" w:cs="Calibri"/>
          <w:color w:val="595959" w:themeColor="text1" w:themeTint="A6"/>
          <w:szCs w:val="20"/>
        </w:rPr>
        <w:t xml:space="preserve">Describe the setting up and sustaining a COVID-19 drive-through testing site, including documentation workflow. </w:t>
      </w:r>
    </w:p>
    <w:p w14:paraId="3C309742" w14:textId="185DBC86" w:rsidR="0085611B" w:rsidRPr="0085611B" w:rsidRDefault="0085611B" w:rsidP="0085611B">
      <w:pPr>
        <w:pStyle w:val="ListParagraph"/>
        <w:numPr>
          <w:ilvl w:val="0"/>
          <w:numId w:val="50"/>
        </w:numPr>
        <w:rPr>
          <w:rFonts w:ascii="Calibri" w:hAnsi="Calibri" w:cs="Calibri"/>
          <w:noProof/>
          <w:szCs w:val="20"/>
        </w:rPr>
      </w:pPr>
      <w:r w:rsidRPr="0085611B">
        <w:rPr>
          <w:rFonts w:ascii="Calibri" w:eastAsia="Calibri" w:hAnsi="Calibri" w:cs="Calibri"/>
          <w:color w:val="595959" w:themeColor="text1" w:themeTint="A6"/>
          <w:szCs w:val="20"/>
        </w:rPr>
        <w:t xml:space="preserve">Identify telehealth expansion opportunities and recommended strategy for successful implementation and </w:t>
      </w:r>
      <w:r>
        <w:rPr>
          <w:rFonts w:ascii="Calibri" w:eastAsia="Calibri" w:hAnsi="Calibri" w:cs="Calibri"/>
          <w:color w:val="595959" w:themeColor="text1" w:themeTint="A6"/>
          <w:szCs w:val="20"/>
        </w:rPr>
        <w:t>sustainment.</w:t>
      </w:r>
    </w:p>
    <w:p w14:paraId="1BB14C06" w14:textId="77777777" w:rsidR="0085611B" w:rsidRPr="0085611B" w:rsidRDefault="0085611B" w:rsidP="0085611B">
      <w:pPr>
        <w:rPr>
          <w:rFonts w:ascii="Calibri" w:hAnsi="Calibri" w:cs="Calibri"/>
          <w:noProof/>
          <w:szCs w:val="20"/>
        </w:rPr>
      </w:pPr>
    </w:p>
    <w:p w14:paraId="5699C3FD" w14:textId="6FB07DC2" w:rsidR="00155E54" w:rsidRPr="0085611B" w:rsidRDefault="0085611B" w:rsidP="0085611B">
      <w:pPr>
        <w:pStyle w:val="ListParagraph"/>
        <w:ind w:left="0" w:firstLine="0"/>
        <w:rPr>
          <w:rFonts w:ascii="Calibri" w:hAnsi="Calibri" w:cs="Calibri"/>
          <w:noProof/>
          <w:szCs w:val="20"/>
        </w:rPr>
      </w:pPr>
      <w:r w:rsidRPr="0085611B">
        <w:rPr>
          <w:rFonts w:ascii="Calibri" w:eastAsia="Calibri" w:hAnsi="Calibri" w:cs="Calibri"/>
          <w:color w:val="595959" w:themeColor="text1" w:themeTint="A6"/>
          <w:szCs w:val="20"/>
        </w:rPr>
        <w:t>.</w:t>
      </w:r>
      <w:r w:rsidR="00155E54" w:rsidRPr="00251281">
        <w:rPr>
          <w:noProof/>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lastRenderedPageBreak/>
        <w:t>NURSING</w:t>
      </w:r>
    </w:p>
    <w:p w14:paraId="38388707" w14:textId="16594FF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program is designated for 1.50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027CB198" w14:textId="43DAC960" w:rsidR="00251281" w:rsidRPr="00251281" w:rsidRDefault="00251281" w:rsidP="00251281">
      <w:pPr>
        <w:rPr>
          <w:rFonts w:ascii="Calibri" w:hAnsi="Calibri" w:cs="Arial"/>
          <w:color w:val="787878" w:themeColor="background2" w:themeShade="80"/>
          <w:szCs w:val="20"/>
        </w:rPr>
      </w:pPr>
      <w:r w:rsidRPr="00251281">
        <w:rPr>
          <w:rFonts w:ascii="Calibri" w:hAnsi="Calibri" w:cs="Arial"/>
          <w:color w:val="696969"/>
          <w:szCs w:val="20"/>
        </w:rPr>
        <w:t>Vizient, Inc. is approved by the California Board of Registered Nursing, Provider Number CEP12580, for 1.80 contact hours.</w:t>
      </w:r>
      <w:bookmarkStart w:id="0" w:name="_GoBack"/>
      <w:bookmarkEnd w:id="0"/>
    </w:p>
    <w:p w14:paraId="258DE858" w14:textId="77777777" w:rsidR="00C44922" w:rsidRPr="00C44922" w:rsidRDefault="00C44922" w:rsidP="00C44922">
      <w:pPr>
        <w:pStyle w:val="Heading3"/>
        <w:rPr>
          <w:rFonts w:ascii="Calibri" w:hAnsi="Calibri" w:cs="Arial"/>
          <w:bCs w:val="0"/>
          <w:color w:val="696969"/>
          <w:szCs w:val="20"/>
        </w:rPr>
      </w:pPr>
      <w:r w:rsidRPr="00C44922">
        <w:rPr>
          <w:rFonts w:ascii="Calibri" w:hAnsi="Calibri" w:cs="Arial"/>
          <w:bCs w:val="0"/>
          <w:color w:val="696969"/>
          <w:szCs w:val="20"/>
        </w:rPr>
        <w:t>NATIONAL ASSOCIATION FOR HEALTHCARE QUALITY</w:t>
      </w:r>
    </w:p>
    <w:p w14:paraId="50174DD6" w14:textId="46E404C9" w:rsidR="00C44922" w:rsidRPr="00C44922" w:rsidRDefault="00C44922" w:rsidP="00C44922">
      <w:pPr>
        <w:rPr>
          <w:rFonts w:ascii="Calibri" w:hAnsi="Calibri" w:cs="Arial"/>
          <w:color w:val="696969"/>
          <w:szCs w:val="20"/>
        </w:rPr>
      </w:pPr>
      <w:r w:rsidRPr="00C44922">
        <w:rPr>
          <w:rFonts w:ascii="Calibri" w:hAnsi="Calibri" w:cs="Arial"/>
          <w:color w:val="696969"/>
          <w:szCs w:val="20"/>
        </w:rPr>
        <w:t>This program has been approved by the National Association for Healthcare Quality for a maximum of</w:t>
      </w:r>
      <w:r w:rsidR="005B4DAF">
        <w:rPr>
          <w:rFonts w:ascii="Calibri" w:hAnsi="Calibri" w:cs="Arial"/>
          <w:color w:val="696969"/>
          <w:szCs w:val="20"/>
        </w:rPr>
        <w:t xml:space="preserve"> 1.50</w:t>
      </w:r>
      <w:r w:rsidRPr="00C44922">
        <w:rPr>
          <w:rFonts w:ascii="Calibri" w:hAnsi="Calibri" w:cs="Arial"/>
          <w:color w:val="696969"/>
          <w:szCs w:val="20"/>
        </w:rPr>
        <w:t xml:space="preserve"> CPHQ continuing education credits for this eve</w:t>
      </w:r>
      <w:r w:rsidR="0000774E">
        <w:rPr>
          <w:rFonts w:ascii="Calibri" w:hAnsi="Calibri" w:cs="Arial"/>
          <w:color w:val="696969"/>
          <w:szCs w:val="20"/>
        </w:rPr>
        <w:t>nt</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01E071EC" w:rsidR="004B0F88"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5B4DAF">
        <w:rPr>
          <w:rFonts w:ascii="Calibri" w:hAnsi="Calibri" w:cs="Calibri"/>
          <w:bCs/>
          <w:color w:val="696969"/>
          <w:szCs w:val="20"/>
        </w:rPr>
        <w:t>none of the planning committee member or presenters have anything to disclose.</w:t>
      </w:r>
    </w:p>
    <w:p w14:paraId="1A7F0FD4" w14:textId="178EE820" w:rsidR="005B4DAF" w:rsidRDefault="005B4DAF" w:rsidP="004B0F88">
      <w:pPr>
        <w:spacing w:before="120"/>
        <w:rPr>
          <w:rFonts w:ascii="Calibri" w:hAnsi="Calibri" w:cs="Calibri"/>
          <w:bCs/>
          <w:color w:val="696969"/>
          <w:szCs w:val="20"/>
        </w:rPr>
      </w:pPr>
    </w:p>
    <w:p w14:paraId="22FB5406" w14:textId="77777777" w:rsidR="005B4DAF" w:rsidRDefault="005B4DAF" w:rsidP="005B4DAF">
      <w:pPr>
        <w:spacing w:before="120"/>
        <w:rPr>
          <w:rFonts w:ascii="Calibri" w:hAnsi="Calibri" w:cs="Calibri"/>
          <w:color w:val="01ADAB"/>
          <w:szCs w:val="20"/>
        </w:rPr>
      </w:pPr>
      <w:r>
        <w:rPr>
          <w:rFonts w:ascii="Calibri" w:hAnsi="Calibri" w:cs="Calibri"/>
          <w:color w:val="01ADAB"/>
          <w:szCs w:val="20"/>
        </w:rPr>
        <w:t>Planning committee members</w:t>
      </w:r>
    </w:p>
    <w:p w14:paraId="1ED3285F"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Natalie Webb, MHA, RN, CPHQ</w:t>
      </w:r>
    </w:p>
    <w:p w14:paraId="25C09536"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Accreditation Director</w:t>
      </w:r>
    </w:p>
    <w:p w14:paraId="68290425"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Vizient</w:t>
      </w:r>
    </w:p>
    <w:p w14:paraId="0890DCE1" w14:textId="77777777" w:rsidR="005B4DAF" w:rsidRDefault="005B4DAF" w:rsidP="005B4DAF">
      <w:pPr>
        <w:spacing w:before="120"/>
        <w:contextualSpacing/>
        <w:rPr>
          <w:rFonts w:ascii="Calibri" w:hAnsi="Calibri" w:cs="Calibri"/>
          <w:snapToGrid w:val="0"/>
          <w:color w:val="696969"/>
          <w:szCs w:val="20"/>
        </w:rPr>
      </w:pPr>
    </w:p>
    <w:p w14:paraId="38766A9F"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Jodi Eisenberg, MHA, CPHQ, CPMSM</w:t>
      </w:r>
    </w:p>
    <w:p w14:paraId="31E52928"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Sr. Network Director</w:t>
      </w:r>
    </w:p>
    <w:p w14:paraId="3F68C3BD"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Vizient</w:t>
      </w:r>
    </w:p>
    <w:p w14:paraId="312A0C31" w14:textId="77777777" w:rsidR="005B4DAF" w:rsidRDefault="005B4DAF" w:rsidP="005B4DAF">
      <w:pPr>
        <w:spacing w:before="120"/>
        <w:contextualSpacing/>
        <w:rPr>
          <w:rFonts w:ascii="Calibri" w:hAnsi="Calibri" w:cs="Calibri"/>
          <w:snapToGrid w:val="0"/>
          <w:color w:val="696969"/>
          <w:szCs w:val="20"/>
        </w:rPr>
      </w:pPr>
    </w:p>
    <w:p w14:paraId="3522882C"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Diana Scott, MHA, RN, CPHQ</w:t>
      </w:r>
    </w:p>
    <w:p w14:paraId="08CEC7B2"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Sr. Director,</w:t>
      </w:r>
      <w:r>
        <w:rPr>
          <w:rFonts w:ascii="Calibri" w:hAnsi="Calibri" w:cs="Calibri"/>
          <w:b/>
          <w:snapToGrid w:val="0"/>
          <w:color w:val="696969"/>
          <w:szCs w:val="20"/>
        </w:rPr>
        <w:t xml:space="preserve"> </w:t>
      </w:r>
      <w:r>
        <w:rPr>
          <w:rFonts w:ascii="Calibri" w:hAnsi="Calibri" w:cs="Calibri"/>
          <w:snapToGrid w:val="0"/>
          <w:color w:val="696969"/>
          <w:szCs w:val="20"/>
        </w:rPr>
        <w:t>Advisory Accreditation</w:t>
      </w:r>
    </w:p>
    <w:p w14:paraId="7FCFA49E" w14:textId="77777777" w:rsidR="005B4DAF" w:rsidRDefault="005B4DAF" w:rsidP="005B4DAF">
      <w:pPr>
        <w:spacing w:before="120"/>
        <w:contextualSpacing/>
        <w:rPr>
          <w:rFonts w:ascii="Calibri" w:hAnsi="Calibri" w:cs="Calibri"/>
          <w:b/>
          <w:snapToGrid w:val="0"/>
          <w:color w:val="696969"/>
          <w:szCs w:val="20"/>
        </w:rPr>
      </w:pPr>
      <w:r>
        <w:rPr>
          <w:rFonts w:ascii="Calibri" w:hAnsi="Calibri" w:cs="Calibri"/>
          <w:snapToGrid w:val="0"/>
          <w:color w:val="696969"/>
          <w:szCs w:val="20"/>
        </w:rPr>
        <w:t>Vizient</w:t>
      </w:r>
    </w:p>
    <w:p w14:paraId="5BEB4100" w14:textId="77777777" w:rsidR="005B4DAF" w:rsidRDefault="005B4DAF" w:rsidP="005B4DAF">
      <w:pPr>
        <w:pStyle w:val="Heading3"/>
        <w:rPr>
          <w:rFonts w:ascii="Calibri" w:hAnsi="Calibri" w:cs="Calibri"/>
          <w:b w:val="0"/>
          <w:snapToGrid w:val="0"/>
          <w:color w:val="696969"/>
          <w:szCs w:val="20"/>
        </w:rPr>
      </w:pPr>
    </w:p>
    <w:p w14:paraId="6B2983B9"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Katrina Harper, PharD, MBA</w:t>
      </w:r>
    </w:p>
    <w:p w14:paraId="32AF5189"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Sr. Clinical Manager</w:t>
      </w:r>
    </w:p>
    <w:p w14:paraId="0AD7BC08"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Vizient</w:t>
      </w:r>
    </w:p>
    <w:p w14:paraId="1155286B" w14:textId="77777777" w:rsidR="005B4DAF" w:rsidRDefault="005B4DAF" w:rsidP="005B4DAF">
      <w:pPr>
        <w:pStyle w:val="Heading3"/>
        <w:rPr>
          <w:rFonts w:ascii="Calibri" w:hAnsi="Calibri" w:cs="Calibri"/>
          <w:bCs w:val="0"/>
          <w:snapToGrid w:val="0"/>
          <w:color w:val="696969"/>
          <w:szCs w:val="20"/>
        </w:rPr>
      </w:pPr>
    </w:p>
    <w:p w14:paraId="0AFC5C7A" w14:textId="77777777" w:rsidR="005B4DAF" w:rsidRDefault="005B4DAF" w:rsidP="005B4DAF">
      <w:pPr>
        <w:pStyle w:val="Heading3"/>
        <w:spacing w:before="0" w:after="120"/>
        <w:rPr>
          <w:rFonts w:ascii="Calibri" w:hAnsi="Calibri" w:cs="Calibri"/>
          <w:bCs w:val="0"/>
          <w:color w:val="01ADAB"/>
          <w:szCs w:val="20"/>
        </w:rPr>
      </w:pPr>
      <w:r>
        <w:rPr>
          <w:rFonts w:ascii="Calibri" w:hAnsi="Calibri" w:cs="Calibri"/>
          <w:b w:val="0"/>
          <w:bCs w:val="0"/>
          <w:color w:val="01ADAB"/>
          <w:szCs w:val="20"/>
        </w:rPr>
        <w:t>Course reviewer(s)</w:t>
      </w:r>
    </w:p>
    <w:p w14:paraId="0E74725D"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Natalie Webb, MHA, RN, CPHQ</w:t>
      </w:r>
    </w:p>
    <w:p w14:paraId="24541C8C"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Accreditation Director</w:t>
      </w:r>
    </w:p>
    <w:p w14:paraId="49D7FAA1"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Vizient</w:t>
      </w:r>
    </w:p>
    <w:p w14:paraId="7DB6CF2C" w14:textId="77777777" w:rsidR="005B4DAF" w:rsidRPr="00C62C43" w:rsidRDefault="005B4DAF" w:rsidP="005B4DAF">
      <w:pPr>
        <w:rPr>
          <w:rFonts w:ascii="Calibri" w:eastAsiaTheme="majorEastAsia" w:hAnsi="Calibri" w:cs="Calibri"/>
          <w:bCs/>
          <w:snapToGrid w:val="0"/>
          <w:color w:val="696969"/>
          <w:szCs w:val="20"/>
        </w:rPr>
      </w:pPr>
    </w:p>
    <w:p w14:paraId="6936BF45"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Katrina Harper, PharD, MBA</w:t>
      </w:r>
    </w:p>
    <w:p w14:paraId="7454B6AB"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Sr. Clinical Manager</w:t>
      </w:r>
    </w:p>
    <w:p w14:paraId="70F0C0F1"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Vizient</w:t>
      </w:r>
    </w:p>
    <w:p w14:paraId="5F26E372" w14:textId="77777777" w:rsidR="005B4DAF" w:rsidRDefault="005B4DAF" w:rsidP="005B4DAF"/>
    <w:p w14:paraId="71F07D07" w14:textId="77777777" w:rsidR="005B4DAF" w:rsidRDefault="005B4DAF" w:rsidP="005B4DAF">
      <w:pPr>
        <w:rPr>
          <w:rFonts w:ascii="Calibri" w:hAnsi="Calibri" w:cs="Calibri"/>
          <w:szCs w:val="20"/>
        </w:rPr>
      </w:pPr>
    </w:p>
    <w:p w14:paraId="31F975F9" w14:textId="77777777" w:rsidR="005B4DAF" w:rsidRDefault="005B4DAF" w:rsidP="005B4DAF">
      <w:pPr>
        <w:pStyle w:val="Heading3"/>
        <w:spacing w:before="0" w:after="120"/>
        <w:rPr>
          <w:rFonts w:ascii="Calibri" w:hAnsi="Calibri" w:cs="Calibri"/>
          <w:color w:val="01ADAB"/>
          <w:szCs w:val="20"/>
        </w:rPr>
      </w:pPr>
      <w:r>
        <w:rPr>
          <w:rFonts w:ascii="Calibri" w:hAnsi="Calibri" w:cs="Calibri"/>
          <w:b w:val="0"/>
          <w:bCs w:val="0"/>
          <w:color w:val="01ADAB"/>
          <w:szCs w:val="20"/>
        </w:rPr>
        <w:t>Presenters</w:t>
      </w:r>
    </w:p>
    <w:p w14:paraId="3CDA40E0" w14:textId="77777777" w:rsidR="0085611B" w:rsidRPr="0085611B" w:rsidRDefault="0085611B" w:rsidP="0085611B">
      <w:pPr>
        <w:rPr>
          <w:rFonts w:ascii="Calibri" w:eastAsiaTheme="majorEastAsia" w:hAnsi="Calibri" w:cs="Calibri"/>
          <w:bCs/>
          <w:snapToGrid w:val="0"/>
          <w:color w:val="696969"/>
          <w:szCs w:val="20"/>
        </w:rPr>
      </w:pPr>
      <w:r w:rsidRPr="0085611B">
        <w:rPr>
          <w:rFonts w:ascii="Calibri" w:eastAsiaTheme="majorEastAsia" w:hAnsi="Calibri" w:cs="Calibri"/>
          <w:bCs/>
          <w:snapToGrid w:val="0"/>
          <w:color w:val="696969"/>
          <w:szCs w:val="20"/>
        </w:rPr>
        <w:t>Ahnna Parker, MSN, RN-BC, CIC</w:t>
      </w:r>
    </w:p>
    <w:p w14:paraId="1BF7B21C" w14:textId="77777777" w:rsidR="0085611B" w:rsidRPr="0085611B" w:rsidRDefault="0085611B" w:rsidP="0085611B">
      <w:pPr>
        <w:rPr>
          <w:rFonts w:ascii="Calibri" w:eastAsiaTheme="majorEastAsia" w:hAnsi="Calibri" w:cs="Calibri"/>
          <w:bCs/>
          <w:snapToGrid w:val="0"/>
          <w:color w:val="696969"/>
          <w:szCs w:val="20"/>
        </w:rPr>
      </w:pPr>
      <w:r w:rsidRPr="0085611B">
        <w:rPr>
          <w:rFonts w:ascii="Calibri" w:eastAsiaTheme="majorEastAsia" w:hAnsi="Calibri" w:cs="Calibri"/>
          <w:bCs/>
          <w:snapToGrid w:val="0"/>
          <w:color w:val="696969"/>
          <w:szCs w:val="20"/>
        </w:rPr>
        <w:t>Advisor, Accreditation</w:t>
      </w:r>
    </w:p>
    <w:p w14:paraId="0878A2C2" w14:textId="77777777" w:rsidR="0085611B" w:rsidRPr="0085611B" w:rsidRDefault="0085611B" w:rsidP="0085611B">
      <w:pPr>
        <w:rPr>
          <w:rFonts w:ascii="Calibri" w:eastAsiaTheme="majorEastAsia" w:hAnsi="Calibri" w:cs="Calibri"/>
          <w:bCs/>
          <w:snapToGrid w:val="0"/>
          <w:color w:val="696969"/>
          <w:szCs w:val="20"/>
        </w:rPr>
      </w:pPr>
      <w:r w:rsidRPr="0085611B">
        <w:rPr>
          <w:rFonts w:ascii="Calibri" w:eastAsiaTheme="majorEastAsia" w:hAnsi="Calibri" w:cs="Calibri"/>
          <w:bCs/>
          <w:snapToGrid w:val="0"/>
          <w:color w:val="696969"/>
          <w:szCs w:val="20"/>
        </w:rPr>
        <w:t>Vizient, Inc.</w:t>
      </w:r>
    </w:p>
    <w:p w14:paraId="1708A400" w14:textId="77777777" w:rsidR="0085611B" w:rsidRPr="0085611B" w:rsidRDefault="0085611B" w:rsidP="0085611B">
      <w:pPr>
        <w:rPr>
          <w:rFonts w:ascii="Calibri" w:eastAsiaTheme="majorEastAsia" w:hAnsi="Calibri" w:cs="Calibri"/>
          <w:bCs/>
          <w:snapToGrid w:val="0"/>
          <w:color w:val="696969"/>
          <w:szCs w:val="20"/>
        </w:rPr>
      </w:pPr>
    </w:p>
    <w:p w14:paraId="41885E54" w14:textId="77777777" w:rsidR="0085611B" w:rsidRPr="0085611B" w:rsidRDefault="0085611B" w:rsidP="0085611B">
      <w:pPr>
        <w:rPr>
          <w:rFonts w:ascii="Calibri" w:eastAsiaTheme="majorEastAsia" w:hAnsi="Calibri" w:cs="Calibri"/>
          <w:bCs/>
          <w:snapToGrid w:val="0"/>
          <w:color w:val="696969"/>
          <w:szCs w:val="20"/>
        </w:rPr>
      </w:pPr>
      <w:r w:rsidRPr="0085611B">
        <w:rPr>
          <w:rFonts w:ascii="Calibri" w:eastAsiaTheme="majorEastAsia" w:hAnsi="Calibri" w:cs="Calibri"/>
          <w:bCs/>
          <w:snapToGrid w:val="0"/>
          <w:color w:val="696969"/>
          <w:szCs w:val="20"/>
        </w:rPr>
        <w:t>Stephanie Hoelscher, DNP, RN-BC, CPHIMS, CHISP, FHIMSS</w:t>
      </w:r>
    </w:p>
    <w:p w14:paraId="27979D8D" w14:textId="77777777" w:rsidR="0085611B" w:rsidRPr="0085611B" w:rsidRDefault="0085611B" w:rsidP="0085611B">
      <w:pPr>
        <w:rPr>
          <w:rFonts w:ascii="Calibri" w:eastAsiaTheme="majorEastAsia" w:hAnsi="Calibri" w:cs="Calibri"/>
          <w:bCs/>
          <w:snapToGrid w:val="0"/>
          <w:color w:val="696969"/>
          <w:szCs w:val="20"/>
        </w:rPr>
      </w:pPr>
      <w:r w:rsidRPr="0085611B">
        <w:rPr>
          <w:rFonts w:ascii="Calibri" w:eastAsiaTheme="majorEastAsia" w:hAnsi="Calibri" w:cs="Calibri"/>
          <w:bCs/>
          <w:snapToGrid w:val="0"/>
          <w:color w:val="696969"/>
          <w:szCs w:val="20"/>
        </w:rPr>
        <w:t>Associate Professor</w:t>
      </w:r>
    </w:p>
    <w:p w14:paraId="7E83E650" w14:textId="77777777" w:rsidR="0085611B" w:rsidRPr="0085611B" w:rsidRDefault="0085611B" w:rsidP="0085611B">
      <w:pPr>
        <w:rPr>
          <w:rFonts w:ascii="Calibri" w:eastAsiaTheme="majorEastAsia" w:hAnsi="Calibri" w:cs="Calibri"/>
          <w:bCs/>
          <w:snapToGrid w:val="0"/>
          <w:color w:val="696969"/>
          <w:szCs w:val="20"/>
        </w:rPr>
      </w:pPr>
      <w:r w:rsidRPr="0085611B">
        <w:rPr>
          <w:rFonts w:ascii="Calibri" w:eastAsiaTheme="majorEastAsia" w:hAnsi="Calibri" w:cs="Calibri"/>
          <w:bCs/>
          <w:snapToGrid w:val="0"/>
          <w:color w:val="696969"/>
          <w:szCs w:val="20"/>
        </w:rPr>
        <w:t>Texas Tech University Health Sciences Center School of Nursing</w:t>
      </w:r>
    </w:p>
    <w:p w14:paraId="25277ED4" w14:textId="77777777" w:rsidR="0085611B" w:rsidRPr="0085611B" w:rsidRDefault="0085611B" w:rsidP="0085611B">
      <w:pPr>
        <w:rPr>
          <w:rFonts w:ascii="Calibri" w:eastAsiaTheme="majorEastAsia" w:hAnsi="Calibri" w:cs="Calibri"/>
          <w:bCs/>
          <w:snapToGrid w:val="0"/>
          <w:color w:val="696969"/>
          <w:szCs w:val="20"/>
        </w:rPr>
      </w:pPr>
    </w:p>
    <w:p w14:paraId="773956EA" w14:textId="77777777" w:rsidR="0085611B" w:rsidRPr="0085611B" w:rsidRDefault="0085611B" w:rsidP="0085611B">
      <w:pPr>
        <w:rPr>
          <w:rFonts w:ascii="Calibri" w:eastAsiaTheme="majorEastAsia" w:hAnsi="Calibri" w:cs="Calibri"/>
          <w:bCs/>
          <w:snapToGrid w:val="0"/>
          <w:color w:val="696969"/>
          <w:szCs w:val="20"/>
        </w:rPr>
      </w:pPr>
      <w:r w:rsidRPr="0085611B">
        <w:rPr>
          <w:rFonts w:ascii="Calibri" w:eastAsiaTheme="majorEastAsia" w:hAnsi="Calibri" w:cs="Calibri"/>
          <w:bCs/>
          <w:snapToGrid w:val="0"/>
          <w:color w:val="696969"/>
          <w:szCs w:val="20"/>
        </w:rPr>
        <w:t>Becky Bounds, MSN, RN-BC, CPHQ</w:t>
      </w:r>
    </w:p>
    <w:p w14:paraId="6DC84F48" w14:textId="77777777" w:rsidR="0085611B" w:rsidRPr="0085611B" w:rsidRDefault="0085611B" w:rsidP="0085611B">
      <w:pPr>
        <w:rPr>
          <w:rFonts w:ascii="Calibri" w:eastAsiaTheme="majorEastAsia" w:hAnsi="Calibri" w:cs="Calibri"/>
          <w:bCs/>
          <w:snapToGrid w:val="0"/>
          <w:color w:val="696969"/>
          <w:szCs w:val="20"/>
        </w:rPr>
      </w:pPr>
      <w:r w:rsidRPr="0085611B">
        <w:rPr>
          <w:rFonts w:ascii="Calibri" w:eastAsiaTheme="majorEastAsia" w:hAnsi="Calibri" w:cs="Calibri"/>
          <w:bCs/>
          <w:snapToGrid w:val="0"/>
          <w:color w:val="696969"/>
          <w:szCs w:val="20"/>
        </w:rPr>
        <w:t>Program Manager</w:t>
      </w:r>
    </w:p>
    <w:p w14:paraId="38967C29" w14:textId="77777777" w:rsidR="0085611B" w:rsidRPr="0085611B" w:rsidRDefault="0085611B" w:rsidP="0085611B">
      <w:pPr>
        <w:rPr>
          <w:rFonts w:ascii="Calibri" w:eastAsiaTheme="majorEastAsia" w:hAnsi="Calibri" w:cs="Calibri"/>
          <w:bCs/>
          <w:snapToGrid w:val="0"/>
          <w:color w:val="696969"/>
          <w:szCs w:val="20"/>
        </w:rPr>
      </w:pPr>
      <w:r w:rsidRPr="0085611B">
        <w:rPr>
          <w:rFonts w:ascii="Calibri" w:eastAsiaTheme="majorEastAsia" w:hAnsi="Calibri" w:cs="Calibri"/>
          <w:bCs/>
          <w:snapToGrid w:val="0"/>
          <w:color w:val="696969"/>
          <w:szCs w:val="20"/>
        </w:rPr>
        <w:t>TexLa Telehealth Resource Center</w:t>
      </w:r>
    </w:p>
    <w:p w14:paraId="0026063E" w14:textId="77777777" w:rsidR="0085611B" w:rsidRPr="0085611B" w:rsidRDefault="0085611B" w:rsidP="0085611B">
      <w:pPr>
        <w:rPr>
          <w:rFonts w:ascii="Calibri" w:eastAsiaTheme="majorEastAsia" w:hAnsi="Calibri" w:cs="Calibri"/>
          <w:bCs/>
          <w:snapToGrid w:val="0"/>
          <w:color w:val="696969"/>
          <w:szCs w:val="20"/>
        </w:rPr>
      </w:pPr>
    </w:p>
    <w:p w14:paraId="4DCA27BA" w14:textId="77777777" w:rsidR="0085611B" w:rsidRPr="0085611B" w:rsidRDefault="0085611B" w:rsidP="0085611B">
      <w:pPr>
        <w:rPr>
          <w:rFonts w:ascii="Calibri" w:eastAsiaTheme="majorEastAsia" w:hAnsi="Calibri" w:cs="Calibri"/>
          <w:bCs/>
          <w:snapToGrid w:val="0"/>
          <w:color w:val="696969"/>
          <w:szCs w:val="20"/>
        </w:rPr>
      </w:pPr>
      <w:r w:rsidRPr="0085611B">
        <w:rPr>
          <w:rFonts w:ascii="Calibri" w:eastAsiaTheme="majorEastAsia" w:hAnsi="Calibri" w:cs="Calibri"/>
          <w:bCs/>
          <w:snapToGrid w:val="0"/>
          <w:color w:val="696969"/>
          <w:szCs w:val="20"/>
        </w:rPr>
        <w:t>Rachel Lynch, MS, RD</w:t>
      </w:r>
    </w:p>
    <w:p w14:paraId="5F62F50B" w14:textId="77777777" w:rsidR="0085611B" w:rsidRPr="0085611B" w:rsidRDefault="0085611B" w:rsidP="0085611B">
      <w:pPr>
        <w:rPr>
          <w:rFonts w:ascii="Calibri" w:eastAsiaTheme="majorEastAsia" w:hAnsi="Calibri" w:cs="Calibri"/>
          <w:bCs/>
          <w:snapToGrid w:val="0"/>
          <w:color w:val="696969"/>
          <w:szCs w:val="20"/>
        </w:rPr>
      </w:pPr>
      <w:r w:rsidRPr="0085611B">
        <w:rPr>
          <w:rFonts w:ascii="Calibri" w:eastAsiaTheme="majorEastAsia" w:hAnsi="Calibri" w:cs="Calibri"/>
          <w:bCs/>
          <w:snapToGrid w:val="0"/>
          <w:color w:val="696969"/>
          <w:szCs w:val="20"/>
        </w:rPr>
        <w:t>Accreditation Coordinator</w:t>
      </w:r>
    </w:p>
    <w:p w14:paraId="1AE884B9" w14:textId="725F937D" w:rsidR="005B4DAF" w:rsidRDefault="0085611B" w:rsidP="0085611B">
      <w:pPr>
        <w:rPr>
          <w:rFonts w:ascii="Calibri" w:hAnsi="Calibri"/>
          <w:szCs w:val="20"/>
        </w:rPr>
      </w:pPr>
      <w:r w:rsidRPr="0085611B">
        <w:rPr>
          <w:rFonts w:ascii="Calibri" w:eastAsiaTheme="majorEastAsia" w:hAnsi="Calibri" w:cs="Calibri"/>
          <w:bCs/>
          <w:snapToGrid w:val="0"/>
          <w:color w:val="696969"/>
          <w:szCs w:val="20"/>
        </w:rPr>
        <w:t>LMH Health</w:t>
      </w:r>
    </w:p>
    <w:sectPr w:rsidR="005B4DAF"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AA29D" w14:textId="77777777" w:rsidR="00D72F22" w:rsidRDefault="00D72F22" w:rsidP="00971D43">
      <w:r>
        <w:separator/>
      </w:r>
    </w:p>
  </w:endnote>
  <w:endnote w:type="continuationSeparator" w:id="0">
    <w:p w14:paraId="3CD78AF2" w14:textId="77777777" w:rsidR="00D72F22" w:rsidRDefault="00D72F2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102FD" w14:textId="77777777" w:rsidR="00D72F22" w:rsidRDefault="00D72F22" w:rsidP="00971D43">
      <w:r>
        <w:separator/>
      </w:r>
    </w:p>
  </w:footnote>
  <w:footnote w:type="continuationSeparator" w:id="0">
    <w:p w14:paraId="5AB6CA91" w14:textId="77777777" w:rsidR="00D72F22" w:rsidRDefault="00D72F2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2424F"/>
    <w:multiLevelType w:val="hybridMultilevel"/>
    <w:tmpl w:val="27CE7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6637715"/>
    <w:multiLevelType w:val="hybridMultilevel"/>
    <w:tmpl w:val="8B523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5"/>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41E07"/>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17DC"/>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B4DA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4CF4"/>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5611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3ABB"/>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D315E"/>
    <w:rsid w:val="00CF2699"/>
    <w:rsid w:val="00CF5730"/>
    <w:rsid w:val="00D04BFD"/>
    <w:rsid w:val="00D14C65"/>
    <w:rsid w:val="00D2267A"/>
    <w:rsid w:val="00D35964"/>
    <w:rsid w:val="00D45CFF"/>
    <w:rsid w:val="00D46507"/>
    <w:rsid w:val="00D531EC"/>
    <w:rsid w:val="00D55902"/>
    <w:rsid w:val="00D6051F"/>
    <w:rsid w:val="00D60D0D"/>
    <w:rsid w:val="00D72F22"/>
    <w:rsid w:val="00D90E66"/>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SourceDataModel Name="AD_HOC" TargetDataSourceId="80be7e5f-6e71-448c-9228-23264555308c"/>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SourceDataModel Name="System" TargetDataSourceId="00b80028-d226-4a39-9a19-6787589aad19"/>
</file>

<file path=customXml/item14.xml><?xml version="1.0" encoding="utf-8"?>
<VariableListDefinition name="Computed" displayName="Computed" id="69155e26-4760-488b-ab4c-bb15b0f8b2a2" isdomainofvalue="False" dataSourceId="87651697-ca1f-4d80-9f69-bb743e325714"/>
</file>

<file path=customXml/item15.xml><?xml version="1.0" encoding="utf-8"?>
<SourceDataModel Name="Computed" TargetDataSourceId="87651697-ca1f-4d80-9f69-bb743e325714"/>
</file>

<file path=customXml/item16.xml><?xml version="1.0" encoding="utf-8"?>
<AllExternalAdhocVariableMappings/>
</file>

<file path=customXml/item17.xml><?xml version="1.0" encoding="utf-8"?>
<DocPartTree/>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VariableListDefinition name="System" displayName="System" id="dc9731b4-d0d2-4ed5-b20d-434d69de1706" isdomainofvalue="False" dataSourceId="00b80028-d226-4a39-9a19-6787589aad19"/>
</file>

<file path=customXml/item22.xml><?xml version="1.0" encoding="utf-8"?>
<AllMetadata/>
</file>

<file path=customXml/item23.xml><?xml version="1.0" encoding="utf-8"?>
<AllWordPDs>
</AllWordPDs>
</file>

<file path=customXml/item24.xml><?xml version="1.0" encoding="utf-8"?>
<VariableListDefinition name="AD_HOC" displayName="AD_HOC" id="9426ea6f-1b24-4683-bca3-85d71f6375fd" isdomainofvalue="False" dataSourceId="80be7e5f-6e71-448c-9228-23264555308c"/>
</file>

<file path=customXml/item25.xml><?xml version="1.0" encoding="utf-8"?>
<VariableUsageMapping/>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670B9E36-0580-447B-AC6B-17D124219512}">
  <ds:schemaRefs>
    <ds:schemaRef ds:uri="http://schemas.openxmlformats.org/officeDocument/2006/bibliography"/>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133</TotalTime>
  <Pages>3</Pages>
  <Words>739</Words>
  <Characters>3967</Characters>
  <Application>Microsoft Office Word</Application>
  <DocSecurity>0</DocSecurity>
  <Lines>90</Lines>
  <Paragraphs>57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14</cp:revision>
  <cp:lastPrinted>2015-12-22T16:01:00Z</cp:lastPrinted>
  <dcterms:created xsi:type="dcterms:W3CDTF">2019-08-20T14:38:00Z</dcterms:created>
  <dcterms:modified xsi:type="dcterms:W3CDTF">2020-04-21T18:31:00Z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