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94FDB70"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715B05" w:rsidRPr="00715B05">
        <w:rPr>
          <w:noProof/>
        </w:rPr>
        <w:t>Vizient Clinical Pathways Learning Collective Series - Overview</w:t>
      </w:r>
    </w:p>
    <w:p w14:paraId="17877713" w14:textId="4F54A99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715B05">
        <w:rPr>
          <w:rFonts w:ascii="Calibri" w:hAnsi="Calibri" w:cs="Calibri"/>
        </w:rPr>
        <w:t>October 20, 2020</w:t>
      </w:r>
    </w:p>
    <w:p w14:paraId="7B21220E" w14:textId="77777777" w:rsidR="00715B05" w:rsidRDefault="00715B05" w:rsidP="008730EB">
      <w:pPr>
        <w:spacing w:line="276" w:lineRule="auto"/>
        <w:rPr>
          <w:rFonts w:ascii="Calibri" w:hAnsi="Calibri" w:cs="Calibri"/>
          <w:color w:val="696969"/>
          <w:szCs w:val="20"/>
        </w:rPr>
      </w:pPr>
      <w:r w:rsidRPr="00715B05">
        <w:rPr>
          <w:rFonts w:ascii="Calibri" w:hAnsi="Calibri" w:cs="Calibri"/>
          <w:color w:val="696969"/>
          <w:szCs w:val="20"/>
        </w:rPr>
        <w:t>Course director: Will Dardani, MBA</w:t>
      </w:r>
    </w:p>
    <w:p w14:paraId="2FEE9E0B" w14:textId="77777777" w:rsidR="00715B05" w:rsidRDefault="00715B05" w:rsidP="008730EB">
      <w:pPr>
        <w:spacing w:line="276" w:lineRule="auto"/>
        <w:rPr>
          <w:rFonts w:ascii="Calibri" w:hAnsi="Calibri" w:cs="Calibri"/>
          <w:color w:val="696969"/>
          <w:szCs w:val="20"/>
        </w:rPr>
      </w:pPr>
    </w:p>
    <w:p w14:paraId="04254163" w14:textId="41247D7B"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9BDAEC9"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715B05">
        <w:rPr>
          <w:rFonts w:ascii="Calibri" w:hAnsi="Calibri" w:cs="Calibri"/>
          <w:color w:val="696969"/>
          <w:szCs w:val="20"/>
        </w:rPr>
        <w:t>December 4, 2020</w:t>
      </w:r>
    </w:p>
    <w:p w14:paraId="52C71BAC" w14:textId="77777777" w:rsidR="006927BD" w:rsidRPr="00251281" w:rsidRDefault="006927BD" w:rsidP="006927BD">
      <w:pPr>
        <w:rPr>
          <w:rFonts w:ascii="Calibri" w:hAnsi="Calibri" w:cs="Calibri"/>
          <w:szCs w:val="20"/>
        </w:rPr>
      </w:pPr>
    </w:p>
    <w:p w14:paraId="3B7D6B5A" w14:textId="241894FF"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715B05">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35972C2" w14:textId="77777777" w:rsidR="00715B05" w:rsidRPr="00715B05" w:rsidRDefault="00715B05" w:rsidP="00715B05">
      <w:pPr>
        <w:pStyle w:val="ListParagraph"/>
        <w:numPr>
          <w:ilvl w:val="0"/>
          <w:numId w:val="49"/>
        </w:numPr>
        <w:rPr>
          <w:rFonts w:ascii="Calibri" w:eastAsia="Calibri" w:hAnsi="Calibri" w:cs="Calibri"/>
          <w:color w:val="595959" w:themeColor="text1" w:themeTint="A6"/>
          <w:szCs w:val="20"/>
        </w:rPr>
      </w:pPr>
      <w:r w:rsidRPr="00715B05">
        <w:rPr>
          <w:rFonts w:ascii="Calibri" w:eastAsia="Calibri" w:hAnsi="Calibri" w:cs="Calibri"/>
          <w:color w:val="595959" w:themeColor="text1" w:themeTint="A6"/>
          <w:szCs w:val="20"/>
        </w:rPr>
        <w:t>Describe the operational definitions of clinical pathways.</w:t>
      </w:r>
    </w:p>
    <w:p w14:paraId="69943DD0" w14:textId="149C166A" w:rsidR="00715B05" w:rsidRDefault="00715B05" w:rsidP="00715B05">
      <w:pPr>
        <w:pStyle w:val="ListParagraph"/>
        <w:numPr>
          <w:ilvl w:val="0"/>
          <w:numId w:val="49"/>
        </w:numPr>
        <w:rPr>
          <w:rFonts w:ascii="Calibri" w:eastAsia="Calibri" w:hAnsi="Calibri" w:cs="Calibri"/>
          <w:color w:val="595959" w:themeColor="text1" w:themeTint="A6"/>
          <w:szCs w:val="20"/>
        </w:rPr>
      </w:pPr>
      <w:r w:rsidRPr="00715B05">
        <w:rPr>
          <w:rFonts w:ascii="Calibri" w:eastAsia="Calibri" w:hAnsi="Calibri" w:cs="Calibri"/>
          <w:color w:val="595959" w:themeColor="text1" w:themeTint="A6"/>
          <w:szCs w:val="20"/>
        </w:rPr>
        <w:t>Identify characteristics associated with various levels of maturity in pathway development at academic medical centers.</w:t>
      </w:r>
    </w:p>
    <w:p w14:paraId="4314934F" w14:textId="07641D63" w:rsidR="00715B05" w:rsidRDefault="00715B05" w:rsidP="00715B05"/>
    <w:p w14:paraId="26C810B8" w14:textId="64362DB2" w:rsidR="00715B05" w:rsidRDefault="00715B05" w:rsidP="00715B05"/>
    <w:p w14:paraId="0D83F11D" w14:textId="77777777" w:rsidR="00715B05" w:rsidRPr="00715B05" w:rsidRDefault="00715B05" w:rsidP="00715B05"/>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E9A590B" w14:textId="5E18BEAC" w:rsidR="00251281" w:rsidRPr="00251281" w:rsidRDefault="00251281" w:rsidP="00251281">
      <w:pPr>
        <w:rPr>
          <w:rFonts w:ascii="Calibri" w:hAnsi="Calibri" w:cs="Arial"/>
          <w:color w:val="696969"/>
          <w:szCs w:val="20"/>
        </w:rPr>
      </w:pPr>
      <w:r w:rsidRPr="00251281">
        <w:rPr>
          <w:rFonts w:ascii="Calibri" w:hAnsi="Calibri" w:cs="Arial"/>
          <w:b/>
          <w:color w:val="696969"/>
          <w:szCs w:val="20"/>
          <w:u w:val="single"/>
        </w:rPr>
        <w:t>Designation Statements:</w:t>
      </w: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63061BB"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715B05">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095E1025"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715B05">
        <w:rPr>
          <w:rFonts w:ascii="Calibri" w:hAnsi="Calibri" w:cs="Arial"/>
          <w:color w:val="696969"/>
          <w:szCs w:val="20"/>
        </w:rPr>
        <w:t>2</w:t>
      </w:r>
      <w:r w:rsidRPr="00251281">
        <w:rPr>
          <w:rFonts w:ascii="Calibri" w:hAnsi="Calibri" w:cs="Arial"/>
          <w:color w:val="696969"/>
          <w:szCs w:val="20"/>
        </w:rPr>
        <w:t>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2AF1F0B"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715B05">
        <w:rPr>
          <w:rFonts w:ascii="Calibri" w:hAnsi="Calibri" w:cs="Arial"/>
          <w:color w:val="696969"/>
          <w:szCs w:val="20"/>
        </w:rPr>
        <w:t>0</w:t>
      </w:r>
      <w:r w:rsidRPr="00251281">
        <w:rPr>
          <w:rFonts w:ascii="Calibri" w:hAnsi="Calibri" w:cs="Arial"/>
          <w:color w:val="696969"/>
          <w:szCs w:val="20"/>
        </w:rPr>
        <w:t xml:space="preserve">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66BD6259" w:rsidR="00251281" w:rsidRPr="00251281" w:rsidRDefault="00715B05" w:rsidP="00251281">
      <w:pPr>
        <w:pStyle w:val="Heading3"/>
        <w:rPr>
          <w:rFonts w:ascii="Calibri" w:hAnsi="Calibri" w:cs="Arial"/>
          <w:color w:val="696969"/>
          <w:szCs w:val="20"/>
        </w:rPr>
      </w:pPr>
      <w:r>
        <w:rPr>
          <w:rFonts w:ascii="Calibri" w:hAnsi="Calibri" w:cs="Arial"/>
          <w:bCs w:val="0"/>
          <w:color w:val="696969"/>
          <w:szCs w:val="20"/>
        </w:rPr>
        <w:t>C</w:t>
      </w:r>
      <w:r w:rsidR="00251281" w:rsidRPr="00251281">
        <w:rPr>
          <w:rFonts w:ascii="Calibri" w:hAnsi="Calibri" w:cs="Arial"/>
          <w:bCs w:val="0"/>
          <w:color w:val="696969"/>
          <w:szCs w:val="20"/>
        </w:rPr>
        <w:t>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7E1FA7">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2AC5C46"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lastRenderedPageBreak/>
        <w:t xml:space="preserve">Relevant financial relationships: </w:t>
      </w:r>
      <w:r w:rsidR="00715B05">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B39129C"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Will Dardani, MBA</w:t>
      </w:r>
    </w:p>
    <w:p w14:paraId="578BD66B"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Networks Director</w:t>
      </w:r>
    </w:p>
    <w:p w14:paraId="2AADA881"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w:t>
      </w:r>
    </w:p>
    <w:p w14:paraId="63262A56" w14:textId="77777777" w:rsidR="007E1FA7" w:rsidRPr="007E1FA7" w:rsidRDefault="007E1FA7" w:rsidP="007E1FA7">
      <w:pPr>
        <w:pStyle w:val="Heading3"/>
        <w:contextualSpacing/>
        <w:rPr>
          <w:rFonts w:ascii="Calibri" w:hAnsi="Calibri" w:cs="Calibri"/>
          <w:b w:val="0"/>
          <w:snapToGrid w:val="0"/>
          <w:color w:val="696969"/>
          <w:szCs w:val="20"/>
        </w:rPr>
      </w:pPr>
    </w:p>
    <w:p w14:paraId="4A331E67"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Amy Lu, MD</w:t>
      </w:r>
    </w:p>
    <w:p w14:paraId="2622243F"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Associate Chief Quality Officer of Stanford Health Care</w:t>
      </w:r>
    </w:p>
    <w:p w14:paraId="06D53BAA"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Stanford Health Care</w:t>
      </w:r>
    </w:p>
    <w:p w14:paraId="3D5E93C4" w14:textId="77777777" w:rsidR="007E1FA7" w:rsidRPr="007E1FA7" w:rsidRDefault="007E1FA7" w:rsidP="007E1FA7">
      <w:pPr>
        <w:pStyle w:val="Heading3"/>
        <w:contextualSpacing/>
        <w:rPr>
          <w:rFonts w:ascii="Calibri" w:hAnsi="Calibri" w:cs="Calibri"/>
          <w:b w:val="0"/>
          <w:snapToGrid w:val="0"/>
          <w:color w:val="696969"/>
          <w:szCs w:val="20"/>
        </w:rPr>
      </w:pPr>
    </w:p>
    <w:p w14:paraId="7057AA14"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 xml:space="preserve">Nikki </w:t>
      </w:r>
      <w:proofErr w:type="spellStart"/>
      <w:r w:rsidRPr="007E1FA7">
        <w:rPr>
          <w:rFonts w:ascii="Calibri" w:hAnsi="Calibri" w:cs="Calibri"/>
          <w:b w:val="0"/>
          <w:snapToGrid w:val="0"/>
          <w:color w:val="696969"/>
          <w:szCs w:val="20"/>
        </w:rPr>
        <w:t>Gruebling</w:t>
      </w:r>
      <w:proofErr w:type="spellEnd"/>
      <w:r w:rsidRPr="007E1FA7">
        <w:rPr>
          <w:rFonts w:ascii="Calibri" w:hAnsi="Calibri" w:cs="Calibri"/>
          <w:b w:val="0"/>
          <w:snapToGrid w:val="0"/>
          <w:color w:val="696969"/>
          <w:szCs w:val="20"/>
        </w:rPr>
        <w:t>, DNP, RN, NEA-BC</w:t>
      </w:r>
    </w:p>
    <w:p w14:paraId="6E24C656"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Senior Networks Director</w:t>
      </w:r>
    </w:p>
    <w:p w14:paraId="13D9C1DD"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 approved nurse planner</w:t>
      </w:r>
    </w:p>
    <w:p w14:paraId="7AE0DD52" w14:textId="2055FFFF" w:rsidR="008730EB"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w:t>
      </w:r>
    </w:p>
    <w:p w14:paraId="1E4AA28B" w14:textId="77777777" w:rsidR="007E1FA7" w:rsidRPr="00251281" w:rsidRDefault="007E1FA7" w:rsidP="007E1FA7">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6A94809"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 xml:space="preserve">Nikki </w:t>
      </w:r>
      <w:proofErr w:type="spellStart"/>
      <w:r w:rsidRPr="007E1FA7">
        <w:rPr>
          <w:rFonts w:ascii="Calibri" w:hAnsi="Calibri" w:cs="Calibri"/>
          <w:b w:val="0"/>
          <w:snapToGrid w:val="0"/>
          <w:color w:val="696969"/>
          <w:szCs w:val="20"/>
        </w:rPr>
        <w:t>Gruebling</w:t>
      </w:r>
      <w:proofErr w:type="spellEnd"/>
      <w:r w:rsidRPr="007E1FA7">
        <w:rPr>
          <w:rFonts w:ascii="Calibri" w:hAnsi="Calibri" w:cs="Calibri"/>
          <w:b w:val="0"/>
          <w:snapToGrid w:val="0"/>
          <w:color w:val="696969"/>
          <w:szCs w:val="20"/>
        </w:rPr>
        <w:t>, DNP, RN, NEA-BC</w:t>
      </w:r>
    </w:p>
    <w:p w14:paraId="073D7629"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Senior Networks Director</w:t>
      </w:r>
    </w:p>
    <w:p w14:paraId="5BEAC428"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 approved nurse planner</w:t>
      </w:r>
    </w:p>
    <w:p w14:paraId="58741463"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1B4F3DC"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Amy Lu, MD</w:t>
      </w:r>
    </w:p>
    <w:p w14:paraId="25FC31CA"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Associate Chief Quality Officer of Stanford Health Care</w:t>
      </w:r>
    </w:p>
    <w:p w14:paraId="570ED751"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Stanford Health Care</w:t>
      </w: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03BC6" w14:textId="77777777" w:rsidR="007D54D3" w:rsidRDefault="007D54D3" w:rsidP="00971D43">
      <w:r>
        <w:separator/>
      </w:r>
    </w:p>
  </w:endnote>
  <w:endnote w:type="continuationSeparator" w:id="0">
    <w:p w14:paraId="4AF162DC" w14:textId="77777777" w:rsidR="007D54D3" w:rsidRDefault="007D54D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11EC" w14:textId="77777777" w:rsidR="007D54D3" w:rsidRDefault="007D54D3" w:rsidP="00971D43">
      <w:r>
        <w:separator/>
      </w:r>
    </w:p>
  </w:footnote>
  <w:footnote w:type="continuationSeparator" w:id="0">
    <w:p w14:paraId="01082B32" w14:textId="77777777" w:rsidR="007D54D3" w:rsidRDefault="007D54D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44AFF"/>
    <w:multiLevelType w:val="hybridMultilevel"/>
    <w:tmpl w:val="DC6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7"/>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15B05"/>
    <w:rsid w:val="00723601"/>
    <w:rsid w:val="00743621"/>
    <w:rsid w:val="00745310"/>
    <w:rsid w:val="00751A26"/>
    <w:rsid w:val="00756986"/>
    <w:rsid w:val="00775D79"/>
    <w:rsid w:val="007910DA"/>
    <w:rsid w:val="0079149D"/>
    <w:rsid w:val="007C2570"/>
    <w:rsid w:val="007C6E08"/>
    <w:rsid w:val="007D473D"/>
    <w:rsid w:val="007D54D3"/>
    <w:rsid w:val="007E1FA7"/>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SourceDataModel Name="AD_HOC" TargetDataSourceId="80be7e5f-6e71-448c-9228-23264555308c"/>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SourceDataModel Name="System" TargetDataSourceId="00b80028-d226-4a39-9a19-6787589aad19"/>
</file>

<file path=customXml/item2.xml><?xml version="1.0" encoding="utf-8"?>
<VariableListDefinition name="System" displayName="System" id="dc9731b4-d0d2-4ed5-b20d-434d69de1706" isdomainofvalue="False" dataSourceId="00b80028-d226-4a39-9a19-6787589aad19"/>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Computed" displayName="Computed" id="69155e26-4760-488b-ab4c-bb15b0f8b2a2" isdomainofvalue="False" dataSourceId="87651697-ca1f-4d80-9f69-bb743e325714"/>
</file>

<file path=customXml/item22.xml><?xml version="1.0" encoding="utf-8"?>
<SourceDataModel Name="Computed" TargetDataSourceId="87651697-ca1f-4d80-9f69-bb743e325714"/>
</file>

<file path=customXml/item23.xml><?xml version="1.0" encoding="utf-8"?>
<AllExternalAdhocVariableMappings/>
</file>

<file path=customXml/item24.xml><?xml version="1.0" encoding="utf-8"?>
<DocPartTree/>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AllMetadata/>
</file>

<file path=customXml/item4.xml><?xml version="1.0" encoding="utf-8"?>
<AllWordPDs>
</AllWordPDs>
</file>

<file path=customXml/item5.xml><?xml version="1.0" encoding="utf-8"?>
<VariableListDefinition name="AD_HOC" displayName="AD_HOC" id="9426ea6f-1b24-4683-bca3-85d71f6375fd" isdomainofvalue="False" dataSourceId="80be7e5f-6e71-448c-9228-23264555308c"/>
</file>

<file path=customXml/item6.xml><?xml version="1.0" encoding="utf-8"?>
<VariableUsageMapping/>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38</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2020-09-24T14:59:00Z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