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B442248"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37020" w:rsidRPr="00937020">
        <w:rPr>
          <w:noProof/>
        </w:rPr>
        <w:t>COVID-19 Pharmacy Practice Considerations Series - Field Hospital Pharmacy: Reflections on Successful Planning</w:t>
      </w:r>
    </w:p>
    <w:p w14:paraId="17877713" w14:textId="14F5C78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551D5">
        <w:rPr>
          <w:rFonts w:ascii="Calibri" w:hAnsi="Calibri" w:cs="Calibri"/>
        </w:rPr>
        <w:t xml:space="preserve">April </w:t>
      </w:r>
      <w:r w:rsidR="00937020">
        <w:rPr>
          <w:rFonts w:ascii="Calibri" w:hAnsi="Calibri" w:cs="Calibri"/>
        </w:rPr>
        <w:t>23</w:t>
      </w:r>
      <w:r w:rsidR="00E551D5">
        <w:rPr>
          <w:rFonts w:ascii="Calibri" w:hAnsi="Calibri" w:cs="Calibri"/>
        </w:rPr>
        <w:t>, 2020</w:t>
      </w:r>
    </w:p>
    <w:p w14:paraId="42EFCA00" w14:textId="1D4AD01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Course director: 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E557B80"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37020">
        <w:rPr>
          <w:rFonts w:ascii="Calibri" w:hAnsi="Calibri" w:cs="Calibri"/>
          <w:color w:val="696969"/>
          <w:szCs w:val="20"/>
        </w:rPr>
        <w:t>June 7,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0A03DEC" w14:textId="42E0E66A" w:rsidR="00937020" w:rsidRPr="00937020" w:rsidRDefault="00937020" w:rsidP="00937020">
      <w:pPr>
        <w:rPr>
          <w:rFonts w:ascii="Calibri" w:eastAsia="Calibri" w:hAnsi="Calibri" w:cs="Calibri"/>
          <w:b/>
          <w:bCs/>
          <w:color w:val="595959" w:themeColor="text1" w:themeTint="A6"/>
          <w:szCs w:val="20"/>
        </w:rPr>
      </w:pPr>
      <w:r w:rsidRPr="00937020">
        <w:rPr>
          <w:rFonts w:ascii="Calibri" w:eastAsia="Calibri" w:hAnsi="Calibri" w:cs="Calibri"/>
          <w:b/>
          <w:bCs/>
          <w:color w:val="595959" w:themeColor="text1" w:themeTint="A6"/>
          <w:szCs w:val="20"/>
        </w:rPr>
        <w:t>Pharmacist and Pharmacy Tech</w:t>
      </w:r>
    </w:p>
    <w:p w14:paraId="7E74818A" w14:textId="77777777" w:rsidR="00937020" w:rsidRPr="00937020" w:rsidRDefault="00937020" w:rsidP="00937020">
      <w:pPr>
        <w:rPr>
          <w:rFonts w:ascii="Calibri" w:eastAsia="Calibri" w:hAnsi="Calibri" w:cs="Calibri"/>
          <w:color w:val="595959" w:themeColor="text1" w:themeTint="A6"/>
          <w:szCs w:val="20"/>
        </w:rPr>
      </w:pPr>
      <w:r w:rsidRPr="00937020">
        <w:rPr>
          <w:rFonts w:ascii="Calibri" w:eastAsia="Calibri" w:hAnsi="Calibri" w:cs="Calibri"/>
          <w:color w:val="595959" w:themeColor="text1" w:themeTint="A6"/>
          <w:szCs w:val="20"/>
        </w:rPr>
        <w:t>1.</w:t>
      </w:r>
      <w:r w:rsidRPr="00937020">
        <w:rPr>
          <w:rFonts w:ascii="Calibri" w:eastAsia="Calibri" w:hAnsi="Calibri" w:cs="Calibri"/>
          <w:color w:val="595959" w:themeColor="text1" w:themeTint="A6"/>
          <w:szCs w:val="20"/>
        </w:rPr>
        <w:tab/>
        <w:t>Discuss strategies for successful field pharmacy planning</w:t>
      </w:r>
    </w:p>
    <w:p w14:paraId="569A972C" w14:textId="77777777" w:rsidR="00937020" w:rsidRPr="00937020" w:rsidRDefault="00937020" w:rsidP="00937020">
      <w:pPr>
        <w:rPr>
          <w:rFonts w:ascii="Calibri" w:eastAsia="Calibri" w:hAnsi="Calibri" w:cs="Calibri"/>
          <w:b/>
          <w:bCs/>
          <w:color w:val="595959" w:themeColor="text1" w:themeTint="A6"/>
          <w:szCs w:val="20"/>
        </w:rPr>
      </w:pPr>
      <w:r w:rsidRPr="00937020">
        <w:rPr>
          <w:rFonts w:ascii="Calibri" w:eastAsia="Calibri" w:hAnsi="Calibri" w:cs="Calibri"/>
          <w:b/>
          <w:bCs/>
          <w:color w:val="595959" w:themeColor="text1" w:themeTint="A6"/>
          <w:szCs w:val="20"/>
        </w:rPr>
        <w:t>Pharmacist</w:t>
      </w:r>
    </w:p>
    <w:p w14:paraId="03A65F8F" w14:textId="77777777" w:rsidR="00937020" w:rsidRPr="00937020" w:rsidRDefault="00937020" w:rsidP="00937020">
      <w:pPr>
        <w:rPr>
          <w:rFonts w:ascii="Calibri" w:eastAsia="Calibri" w:hAnsi="Calibri" w:cs="Calibri"/>
          <w:color w:val="595959" w:themeColor="text1" w:themeTint="A6"/>
          <w:szCs w:val="20"/>
        </w:rPr>
      </w:pPr>
      <w:r w:rsidRPr="00937020">
        <w:rPr>
          <w:rFonts w:ascii="Calibri" w:eastAsia="Calibri" w:hAnsi="Calibri" w:cs="Calibri"/>
          <w:color w:val="595959" w:themeColor="text1" w:themeTint="A6"/>
          <w:szCs w:val="20"/>
        </w:rPr>
        <w:t>2.</w:t>
      </w:r>
      <w:r w:rsidRPr="00937020">
        <w:rPr>
          <w:rFonts w:ascii="Calibri" w:eastAsia="Calibri" w:hAnsi="Calibri" w:cs="Calibri"/>
          <w:color w:val="595959" w:themeColor="text1" w:themeTint="A6"/>
          <w:szCs w:val="20"/>
        </w:rPr>
        <w:tab/>
        <w:t>Review pharmacy considerations specific to field hospital operations</w:t>
      </w:r>
    </w:p>
    <w:p w14:paraId="20ACABFF" w14:textId="77777777" w:rsidR="00937020" w:rsidRPr="00937020" w:rsidRDefault="00937020" w:rsidP="00937020">
      <w:pPr>
        <w:rPr>
          <w:rFonts w:ascii="Calibri" w:eastAsia="Calibri" w:hAnsi="Calibri" w:cs="Calibri"/>
          <w:b/>
          <w:bCs/>
          <w:color w:val="595959" w:themeColor="text1" w:themeTint="A6"/>
          <w:szCs w:val="20"/>
        </w:rPr>
      </w:pPr>
      <w:r w:rsidRPr="00937020">
        <w:rPr>
          <w:rFonts w:ascii="Calibri" w:eastAsia="Calibri" w:hAnsi="Calibri" w:cs="Calibri"/>
          <w:b/>
          <w:bCs/>
          <w:color w:val="595959" w:themeColor="text1" w:themeTint="A6"/>
          <w:szCs w:val="20"/>
        </w:rPr>
        <w:t>Pharmacy Tech</w:t>
      </w:r>
    </w:p>
    <w:p w14:paraId="38E435AE" w14:textId="1B4F0E36" w:rsidR="00EA28F7" w:rsidRPr="00937020" w:rsidRDefault="00937020" w:rsidP="00937020">
      <w:pPr>
        <w:rPr>
          <w:rFonts w:ascii="Calibri" w:eastAsia="Calibri" w:hAnsi="Calibri" w:cs="Calibri"/>
          <w:color w:val="595959" w:themeColor="text1" w:themeTint="A6"/>
          <w:szCs w:val="20"/>
        </w:rPr>
      </w:pPr>
      <w:r w:rsidRPr="00937020">
        <w:rPr>
          <w:rFonts w:ascii="Calibri" w:eastAsia="Calibri" w:hAnsi="Calibri" w:cs="Calibri"/>
          <w:color w:val="595959" w:themeColor="text1" w:themeTint="A6"/>
          <w:szCs w:val="20"/>
        </w:rPr>
        <w:t>3.</w:t>
      </w:r>
      <w:r w:rsidRPr="00937020">
        <w:rPr>
          <w:rFonts w:ascii="Calibri" w:eastAsia="Calibri" w:hAnsi="Calibri" w:cs="Calibri"/>
          <w:color w:val="595959" w:themeColor="text1" w:themeTint="A6"/>
          <w:szCs w:val="20"/>
        </w:rPr>
        <w:tab/>
        <w:t>Describe various approaches to providing medications to patients in a field hospital</w:t>
      </w:r>
      <w:r w:rsidR="00EA28F7" w:rsidRPr="00937020">
        <w:rPr>
          <w:rFonts w:ascii="Calibri" w:eastAsia="Calibri" w:hAnsi="Calibri" w:cs="Calibri"/>
          <w:color w:val="595959" w:themeColor="text1" w:themeTint="A6"/>
          <w:szCs w:val="20"/>
        </w:rPr>
        <w:t xml:space="preserve"> </w:t>
      </w:r>
    </w:p>
    <w:p w14:paraId="6FF782AB" w14:textId="77777777" w:rsidR="00EA28F7" w:rsidRDefault="00EA28F7" w:rsidP="00EA28F7">
      <w:pPr>
        <w:rPr>
          <w:rFonts w:ascii="Calibri" w:eastAsia="Calibri" w:hAnsi="Calibri" w:cs="Calibri"/>
          <w:b/>
          <w:bCs/>
          <w:color w:val="595959" w:themeColor="text1" w:themeTint="A6"/>
          <w:szCs w:val="20"/>
        </w:rPr>
      </w:pPr>
    </w:p>
    <w:p w14:paraId="55673CF3" w14:textId="77777777" w:rsidR="00EA28F7" w:rsidRDefault="00EA28F7" w:rsidP="00EA28F7">
      <w:pPr>
        <w:rPr>
          <w:rFonts w:ascii="Calibri" w:eastAsia="Calibri" w:hAnsi="Calibri" w:cs="Calibri"/>
          <w:b/>
          <w:bCs/>
          <w:color w:val="595959" w:themeColor="text1" w:themeTint="A6"/>
          <w:szCs w:val="20"/>
        </w:rPr>
      </w:pP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4C391AED" w14:textId="3607923A"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F44F12" w:rsidRPr="00F44F12">
        <w:t xml:space="preserve"> </w:t>
      </w:r>
      <w:r w:rsidR="00D23D8B" w:rsidRPr="00D23D8B">
        <w:rPr>
          <w:rFonts w:ascii="Calibri" w:hAnsi="Calibri" w:cs="Arial"/>
          <w:color w:val="696969"/>
          <w:szCs w:val="20"/>
        </w:rPr>
        <w:t>JA0006103-0000-20-089-L04-P - JA0006103-0000-20-089-L04-T</w:t>
      </w:r>
      <w:bookmarkStart w:id="0" w:name="_GoBack"/>
      <w:bookmarkEnd w:id="0"/>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7982750"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None of the planning committee or presenters have anything to disclose</w:t>
      </w:r>
      <w:r w:rsidR="00EA28F7">
        <w:rPr>
          <w:rFonts w:ascii="Calibri" w:hAnsi="Calibri" w:cs="Calibri"/>
          <w:bCs/>
          <w:color w:val="696969"/>
          <w:szCs w:val="20"/>
        </w:rPr>
        <w:t>.</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lastRenderedPageBreak/>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66AE16D2"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Randy Gerwitz, RPh</w:t>
      </w:r>
    </w:p>
    <w:p w14:paraId="3FAE6EC6"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Pharmacy Executive Director</w:t>
      </w:r>
    </w:p>
    <w:p w14:paraId="21DC7EC5"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Vizient</w:t>
      </w:r>
    </w:p>
    <w:p w14:paraId="22F80111" w14:textId="77777777" w:rsidR="00937020" w:rsidRPr="00937020" w:rsidRDefault="00937020" w:rsidP="00937020">
      <w:pPr>
        <w:rPr>
          <w:rFonts w:ascii="Calibri" w:eastAsia="Times" w:hAnsi="Calibri" w:cs="Calibri"/>
          <w:color w:val="696969"/>
          <w:szCs w:val="20"/>
        </w:rPr>
      </w:pPr>
    </w:p>
    <w:p w14:paraId="1F4DB72E"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JoEllen Weilnau, PharmD</w:t>
      </w:r>
    </w:p>
    <w:p w14:paraId="03791690"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Clinical Coordinator-Hematology/Oncology/Bone Marrow Transplant</w:t>
      </w:r>
    </w:p>
    <w:p w14:paraId="5763444A"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Akron Children’s Hospital</w:t>
      </w:r>
    </w:p>
    <w:p w14:paraId="163FAAA5" w14:textId="77777777" w:rsidR="00937020" w:rsidRPr="00937020" w:rsidRDefault="00937020" w:rsidP="00937020">
      <w:pPr>
        <w:rPr>
          <w:rFonts w:ascii="Calibri" w:eastAsia="Times" w:hAnsi="Calibri" w:cs="Calibri"/>
          <w:color w:val="696969"/>
          <w:szCs w:val="20"/>
        </w:rPr>
      </w:pPr>
    </w:p>
    <w:p w14:paraId="238234AA"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Brian Zikaras, PharmD</w:t>
      </w:r>
    </w:p>
    <w:p w14:paraId="552B247D" w14:textId="77777777" w:rsidR="00937020" w:rsidRPr="00937020" w:rsidRDefault="00937020" w:rsidP="00937020">
      <w:pPr>
        <w:rPr>
          <w:rFonts w:ascii="Calibri" w:eastAsia="Times" w:hAnsi="Calibri" w:cs="Calibri"/>
          <w:color w:val="696969"/>
          <w:szCs w:val="20"/>
        </w:rPr>
      </w:pPr>
      <w:r w:rsidRPr="00937020">
        <w:rPr>
          <w:rFonts w:ascii="Calibri" w:eastAsia="Times" w:hAnsi="Calibri" w:cs="Calibri"/>
          <w:color w:val="696969"/>
          <w:szCs w:val="20"/>
        </w:rPr>
        <w:t>Director of Pharmacy Contracting</w:t>
      </w:r>
    </w:p>
    <w:p w14:paraId="2F365C5D" w14:textId="7323BB3B" w:rsidR="008730EB" w:rsidRPr="00251281" w:rsidRDefault="00937020" w:rsidP="00937020">
      <w:pPr>
        <w:rPr>
          <w:rFonts w:ascii="Calibri" w:hAnsi="Calibri"/>
          <w:szCs w:val="20"/>
        </w:rPr>
      </w:pPr>
      <w:r w:rsidRPr="00937020">
        <w:rPr>
          <w:rFonts w:ascii="Calibri" w:eastAsia="Times" w:hAnsi="Calibri" w:cs="Calibri"/>
          <w:color w:val="696969"/>
          <w:szCs w:val="20"/>
        </w:rPr>
        <w:t>Partners HealthCare</w:t>
      </w: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C9CC" w14:textId="77777777" w:rsidR="00DE369C" w:rsidRDefault="00DE369C" w:rsidP="00971D43">
      <w:r>
        <w:separator/>
      </w:r>
    </w:p>
  </w:endnote>
  <w:endnote w:type="continuationSeparator" w:id="0">
    <w:p w14:paraId="08615AD3" w14:textId="77777777" w:rsidR="00DE369C" w:rsidRDefault="00DE369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ECE3" w14:textId="77777777" w:rsidR="00DE369C" w:rsidRDefault="00DE369C" w:rsidP="00971D43">
      <w:r>
        <w:separator/>
      </w:r>
    </w:p>
  </w:footnote>
  <w:footnote w:type="continuationSeparator" w:id="0">
    <w:p w14:paraId="63687605" w14:textId="77777777" w:rsidR="00DE369C" w:rsidRDefault="00DE369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001405"/>
    <w:multiLevelType w:val="hybridMultilevel"/>
    <w:tmpl w:val="615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5DF"/>
    <w:multiLevelType w:val="hybridMultilevel"/>
    <w:tmpl w:val="27B0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5"/>
  </w:num>
  <w:num w:numId="12">
    <w:abstractNumId w:val="31"/>
  </w:num>
  <w:num w:numId="13">
    <w:abstractNumId w:val="18"/>
  </w:num>
  <w:num w:numId="14">
    <w:abstractNumId w:val="36"/>
  </w:num>
  <w:num w:numId="15">
    <w:abstractNumId w:val="22"/>
  </w:num>
  <w:num w:numId="16">
    <w:abstractNumId w:val="8"/>
  </w:num>
  <w:num w:numId="17">
    <w:abstractNumId w:val="16"/>
  </w:num>
  <w:num w:numId="18">
    <w:abstractNumId w:val="40"/>
  </w:num>
  <w:num w:numId="19">
    <w:abstractNumId w:val="43"/>
  </w:num>
  <w:num w:numId="20">
    <w:abstractNumId w:val="33"/>
  </w:num>
  <w:num w:numId="21">
    <w:abstractNumId w:val="12"/>
  </w:num>
  <w:num w:numId="22">
    <w:abstractNumId w:val="26"/>
  </w:num>
  <w:num w:numId="23">
    <w:abstractNumId w:val="14"/>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0"/>
  </w:num>
  <w:num w:numId="33">
    <w:abstractNumId w:val="38"/>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5"/>
  </w:num>
  <w:num w:numId="43">
    <w:abstractNumId w:val="17"/>
  </w:num>
  <w:num w:numId="44">
    <w:abstractNumId w:val="3"/>
  </w:num>
  <w:num w:numId="45">
    <w:abstractNumId w:val="2"/>
  </w:num>
  <w:num w:numId="46">
    <w:abstractNumId w:val="11"/>
  </w:num>
  <w:num w:numId="47">
    <w:abstractNumId w:val="27"/>
  </w:num>
  <w:num w:numId="48">
    <w:abstractNumId w:val="2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37020"/>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87816"/>
    <w:rsid w:val="00D97E07"/>
    <w:rsid w:val="00DA6BD0"/>
    <w:rsid w:val="00DB507E"/>
    <w:rsid w:val="00DC09A4"/>
    <w:rsid w:val="00DE18AA"/>
    <w:rsid w:val="00DE3426"/>
    <w:rsid w:val="00DE369C"/>
    <w:rsid w:val="00DF65D5"/>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51E1"/>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VariableUsageMapping/>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VariableListDefinition name="Computed" displayName="Computed" id="69155e26-4760-488b-ab4c-bb15b0f8b2a2" isdomainofvalue="False" dataSourceId="87651697-ca1f-4d80-9f69-bb743e325714"/>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AllExternalAdhocVariableMappings/>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DocPartTree/>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SourceDataModel Name="Computed" TargetDataSourceId="87651697-ca1f-4d80-9f69-bb743e325714"/>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AllMetadata/>
</file>

<file path=customXml/item5.xml><?xml version="1.0" encoding="utf-8"?>
<SourceDataModel Name="AD_HOC" TargetDataSourceId="80be7e5f-6e71-448c-9228-23264555308c"/>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AllWordPDs>
</AllWordPD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9B3029B8-4985-4264-B02D-72794BC78DFD}">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58</TotalTime>
  <Pages>3</Pages>
  <Words>800</Words>
  <Characters>4420</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15</cp:revision>
  <cp:lastPrinted>2015-12-22T16:01:00Z</cp:lastPrinted>
  <dcterms:created xsi:type="dcterms:W3CDTF">2019-08-20T14:38:00Z</dcterms:created>
  <dcterms:modified xsi:type="dcterms:W3CDTF">2020-04-20T19:33:00Z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