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0BB57066"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E551D5" w:rsidRPr="00E551D5">
        <w:rPr>
          <w:noProof/>
        </w:rPr>
        <w:t>2020 COVID-19 Pharmacy Practice Considerations Series - The management of inhaled medications during the COVID-19 pandemic</w:t>
      </w:r>
    </w:p>
    <w:p w14:paraId="17877713" w14:textId="07365D25"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E551D5">
        <w:rPr>
          <w:rFonts w:ascii="Calibri" w:hAnsi="Calibri" w:cs="Calibri"/>
        </w:rPr>
        <w:t>April 9, 2020</w:t>
      </w:r>
    </w:p>
    <w:p w14:paraId="42EFCA00" w14:textId="1D4AD015"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E551D5" w:rsidRPr="00E551D5">
        <w:rPr>
          <w:rFonts w:ascii="Calibri" w:hAnsi="Calibri" w:cs="Calibri"/>
        </w:rPr>
        <w:t>Course director: Katrina Harper, PharmD, MBA, BCPS, BCSCP</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44528DDD"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E551D5">
        <w:rPr>
          <w:rFonts w:ascii="Calibri" w:hAnsi="Calibri" w:cs="Calibri"/>
          <w:color w:val="696969"/>
          <w:szCs w:val="20"/>
        </w:rPr>
        <w:t>May 24, 2020</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0C6F79F" w14:textId="77777777" w:rsidR="00E551D5" w:rsidRPr="00E551D5" w:rsidRDefault="00E551D5" w:rsidP="00E551D5">
      <w:pPr>
        <w:rPr>
          <w:rFonts w:ascii="Calibri" w:eastAsia="Calibri" w:hAnsi="Calibri" w:cs="Calibri"/>
          <w:b/>
          <w:bCs/>
          <w:color w:val="595959" w:themeColor="text1" w:themeTint="A6"/>
          <w:szCs w:val="20"/>
        </w:rPr>
      </w:pPr>
      <w:r w:rsidRPr="00E551D5">
        <w:rPr>
          <w:rFonts w:ascii="Calibri" w:eastAsia="Calibri" w:hAnsi="Calibri" w:cs="Calibri"/>
          <w:b/>
          <w:bCs/>
          <w:color w:val="595959" w:themeColor="text1" w:themeTint="A6"/>
          <w:szCs w:val="20"/>
        </w:rPr>
        <w:t>Pharmacist-P Objectives</w:t>
      </w:r>
    </w:p>
    <w:p w14:paraId="2C16665B" w14:textId="77777777" w:rsidR="00E551D5" w:rsidRPr="00E551D5" w:rsidRDefault="00E551D5" w:rsidP="00E551D5">
      <w:pPr>
        <w:pStyle w:val="ListParagraph"/>
        <w:numPr>
          <w:ilvl w:val="0"/>
          <w:numId w:val="49"/>
        </w:numPr>
        <w:rPr>
          <w:rFonts w:ascii="Calibri" w:eastAsia="Calibri" w:hAnsi="Calibri" w:cs="Calibri"/>
          <w:color w:val="595959" w:themeColor="text1" w:themeTint="A6"/>
          <w:szCs w:val="20"/>
        </w:rPr>
      </w:pPr>
      <w:r w:rsidRPr="00E551D5">
        <w:rPr>
          <w:rFonts w:ascii="Calibri" w:eastAsia="Calibri" w:hAnsi="Calibri" w:cs="Calibri"/>
          <w:color w:val="595959" w:themeColor="text1" w:themeTint="A6"/>
          <w:szCs w:val="20"/>
        </w:rPr>
        <w:t>Summarize current practices for the management of COVID-19 patients</w:t>
      </w:r>
    </w:p>
    <w:p w14:paraId="7261717F" w14:textId="2846E661" w:rsidR="00E551D5" w:rsidRPr="00E551D5" w:rsidRDefault="00E551D5" w:rsidP="00E551D5">
      <w:pPr>
        <w:pStyle w:val="ListParagraph"/>
        <w:numPr>
          <w:ilvl w:val="0"/>
          <w:numId w:val="49"/>
        </w:numPr>
        <w:rPr>
          <w:rFonts w:ascii="Calibri" w:eastAsia="Calibri" w:hAnsi="Calibri" w:cs="Calibri"/>
          <w:color w:val="595959" w:themeColor="text1" w:themeTint="A6"/>
          <w:szCs w:val="20"/>
        </w:rPr>
      </w:pPr>
      <w:r w:rsidRPr="00E551D5">
        <w:rPr>
          <w:rFonts w:ascii="Calibri" w:eastAsia="Calibri" w:hAnsi="Calibri" w:cs="Calibri"/>
          <w:color w:val="595959" w:themeColor="text1" w:themeTint="A6"/>
          <w:szCs w:val="20"/>
        </w:rPr>
        <w:t>Describe strategies for successfully mitigating COVID-19 related pharmacy challenges and issues as presented</w:t>
      </w:r>
    </w:p>
    <w:p w14:paraId="1F4BF712" w14:textId="77777777" w:rsidR="00E551D5" w:rsidRPr="00E551D5" w:rsidRDefault="00E551D5" w:rsidP="00E551D5">
      <w:pPr>
        <w:rPr>
          <w:rFonts w:ascii="Calibri" w:eastAsia="Calibri" w:hAnsi="Calibri" w:cs="Calibri"/>
          <w:b/>
          <w:bCs/>
          <w:color w:val="595959" w:themeColor="text1" w:themeTint="A6"/>
          <w:szCs w:val="20"/>
        </w:rPr>
      </w:pPr>
      <w:r w:rsidRPr="00E551D5">
        <w:rPr>
          <w:rFonts w:ascii="Calibri" w:eastAsia="Calibri" w:hAnsi="Calibri" w:cs="Calibri"/>
          <w:b/>
          <w:bCs/>
          <w:color w:val="595959" w:themeColor="text1" w:themeTint="A6"/>
          <w:szCs w:val="20"/>
        </w:rPr>
        <w:t>Pharmacist-T Objectives</w:t>
      </w:r>
    </w:p>
    <w:p w14:paraId="4052309A" w14:textId="77777777" w:rsidR="00E551D5" w:rsidRPr="00E551D5" w:rsidRDefault="00E551D5" w:rsidP="00E551D5">
      <w:pPr>
        <w:pStyle w:val="ListParagraph"/>
        <w:numPr>
          <w:ilvl w:val="0"/>
          <w:numId w:val="50"/>
        </w:numPr>
        <w:rPr>
          <w:rFonts w:ascii="Calibri" w:eastAsia="Calibri" w:hAnsi="Calibri" w:cs="Calibri"/>
          <w:color w:val="595959" w:themeColor="text1" w:themeTint="A6"/>
          <w:szCs w:val="20"/>
        </w:rPr>
      </w:pPr>
      <w:r w:rsidRPr="00E551D5">
        <w:rPr>
          <w:rFonts w:ascii="Calibri" w:eastAsia="Calibri" w:hAnsi="Calibri" w:cs="Calibri"/>
          <w:color w:val="595959" w:themeColor="text1" w:themeTint="A6"/>
          <w:szCs w:val="20"/>
        </w:rPr>
        <w:t>Discuss COVID-19 pharmacy practice considerations per topic as presented</w:t>
      </w:r>
    </w:p>
    <w:p w14:paraId="614CB3C7" w14:textId="7EE813A7" w:rsidR="00251281" w:rsidRPr="00E551D5" w:rsidRDefault="00E551D5" w:rsidP="00E551D5">
      <w:pPr>
        <w:pStyle w:val="ListParagraph"/>
        <w:numPr>
          <w:ilvl w:val="0"/>
          <w:numId w:val="50"/>
        </w:numPr>
        <w:rPr>
          <w:rFonts w:ascii="Calibri" w:hAnsi="Calibri"/>
          <w:szCs w:val="20"/>
        </w:rPr>
      </w:pPr>
      <w:r w:rsidRPr="00E551D5">
        <w:rPr>
          <w:rFonts w:ascii="Calibri" w:eastAsia="Calibri" w:hAnsi="Calibri" w:cs="Calibri"/>
          <w:color w:val="595959" w:themeColor="text1" w:themeTint="A6"/>
          <w:szCs w:val="20"/>
        </w:rPr>
        <w:t>Describe strategies for successfully mitigating COVID-19 related pharmacy challenges and issues as presented</w:t>
      </w: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4C391AED" w14:textId="41574648"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D87816" w:rsidRPr="00D87816">
        <w:rPr>
          <w:rFonts w:ascii="Calibri" w:hAnsi="Calibri" w:cs="Arial"/>
          <w:color w:val="696969"/>
          <w:szCs w:val="20"/>
        </w:rPr>
        <w:t>JA0006103-0000-20-080-L04-P - JA0006103-0000-20-080-L04-T</w:t>
      </w:r>
      <w:bookmarkStart w:id="0" w:name="_GoBack"/>
      <w:bookmarkEnd w:id="0"/>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6715B1BF"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E551D5">
        <w:rPr>
          <w:rFonts w:ascii="Calibri" w:hAnsi="Calibri" w:cs="Calibri"/>
          <w:bCs/>
          <w:color w:val="696969"/>
          <w:szCs w:val="20"/>
        </w:rPr>
        <w:t>None of the planning committee members and/or the presenters have anything to disclose.</w:t>
      </w:r>
    </w:p>
    <w:p w14:paraId="4DB19051" w14:textId="77777777" w:rsidR="00FD0F7B" w:rsidRDefault="00FD0F7B" w:rsidP="008730EB">
      <w:pPr>
        <w:pStyle w:val="Heading3"/>
        <w:spacing w:before="240" w:after="120"/>
        <w:rPr>
          <w:rFonts w:ascii="Calibri" w:hAnsi="Calibri" w:cs="Calibri"/>
          <w:color w:val="01ADAB"/>
          <w:szCs w:val="20"/>
        </w:rPr>
      </w:pPr>
    </w:p>
    <w:p w14:paraId="4721E87D" w14:textId="3B5F2F9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75BAA3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Jackie Stokes, BS</w:t>
      </w:r>
    </w:p>
    <w:p w14:paraId="629DBF1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Manager, Pharmacy Program Services</w:t>
      </w:r>
    </w:p>
    <w:p w14:paraId="58B7ED2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2310F1C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C18B450"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Gretchen Brummel</w:t>
      </w:r>
    </w:p>
    <w:p w14:paraId="3ACA4A6A"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BCPS</w:t>
      </w:r>
    </w:p>
    <w:p w14:paraId="7D9586D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Pharmacy Executive Director</w:t>
      </w:r>
    </w:p>
    <w:p w14:paraId="6C61F69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053EB41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18F7BB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88B1A5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5B7F42A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661EC53A" w14:textId="3C2D6EA4"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7AE0DD52" w14:textId="77777777" w:rsidR="008730EB" w:rsidRPr="00251281" w:rsidRDefault="008730EB" w:rsidP="008730E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9F42AC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71AB838"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2719E33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272F32B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6262ECC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Megan M Fletcher, PharmD</w:t>
      </w:r>
    </w:p>
    <w:p w14:paraId="08218B3F"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Manager of Pharmacy Services Regional</w:t>
      </w:r>
    </w:p>
    <w:p w14:paraId="09E7AF48" w14:textId="77777777" w:rsid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Spectrum Health</w:t>
      </w:r>
    </w:p>
    <w:p w14:paraId="183C03E6"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16E3E82"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Amy S. Pouillon, PharmD</w:t>
      </w:r>
    </w:p>
    <w:p w14:paraId="0D60E4A9"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Specialist, Medication Safety</w:t>
      </w:r>
    </w:p>
    <w:p w14:paraId="5930DC4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Spectrum Health</w:t>
      </w:r>
    </w:p>
    <w:p w14:paraId="42800C3A"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4561E4E3"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Eric M. Tichy, Pharm.D., M.B.A., BCPS, FAST, FCCP</w:t>
      </w:r>
    </w:p>
    <w:p w14:paraId="5796ADCF"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Vice Chair Pharmacy Formulary/ Supply Solutions</w:t>
      </w:r>
    </w:p>
    <w:p w14:paraId="4A96B3C4"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Mayo Clinical Health System</w:t>
      </w:r>
    </w:p>
    <w:p w14:paraId="127B50A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1FD2DAF6"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 xml:space="preserve">Christopher J. Arendt </w:t>
      </w:r>
    </w:p>
    <w:p w14:paraId="7726C83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BS, AS, NREMT-B</w:t>
      </w:r>
    </w:p>
    <w:p w14:paraId="25DCA0D5"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Senior Clinical Manager of Clinical Pharmacy</w:t>
      </w:r>
    </w:p>
    <w:p w14:paraId="1C12C8BF"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Mayo Clinic Rochester</w:t>
      </w:r>
    </w:p>
    <w:p w14:paraId="17AC182A"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4027AF64"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Mei Tsai, PharmD, BCGP</w:t>
      </w:r>
    </w:p>
    <w:p w14:paraId="4D8068A4"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Pharmacist</w:t>
      </w:r>
    </w:p>
    <w:p w14:paraId="523B4933"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Torrance Memorial Medical Center</w:t>
      </w: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40032" w14:textId="77777777" w:rsidR="00C74061" w:rsidRDefault="00C74061" w:rsidP="00971D43">
      <w:r>
        <w:separator/>
      </w:r>
    </w:p>
  </w:endnote>
  <w:endnote w:type="continuationSeparator" w:id="0">
    <w:p w14:paraId="302FA245" w14:textId="77777777" w:rsidR="00C74061" w:rsidRDefault="00C7406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D714A" w14:textId="77777777" w:rsidR="00C74061" w:rsidRDefault="00C74061" w:rsidP="00971D43">
      <w:r>
        <w:separator/>
      </w:r>
    </w:p>
  </w:footnote>
  <w:footnote w:type="continuationSeparator" w:id="0">
    <w:p w14:paraId="22A2D63A" w14:textId="77777777" w:rsidR="00C74061" w:rsidRDefault="00C7406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3001405"/>
    <w:multiLevelType w:val="hybridMultilevel"/>
    <w:tmpl w:val="61521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5DF"/>
    <w:multiLevelType w:val="hybridMultilevel"/>
    <w:tmpl w:val="27B00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7"/>
  </w:num>
  <w:num w:numId="4">
    <w:abstractNumId w:val="37"/>
  </w:num>
  <w:num w:numId="5">
    <w:abstractNumId w:val="34"/>
  </w:num>
  <w:num w:numId="6">
    <w:abstractNumId w:val="6"/>
  </w:num>
  <w:num w:numId="7">
    <w:abstractNumId w:val="29"/>
  </w:num>
  <w:num w:numId="8">
    <w:abstractNumId w:val="44"/>
  </w:num>
  <w:num w:numId="9">
    <w:abstractNumId w:val="41"/>
  </w:num>
  <w:num w:numId="10">
    <w:abstractNumId w:val="45"/>
  </w:num>
  <w:num w:numId="11">
    <w:abstractNumId w:val="15"/>
  </w:num>
  <w:num w:numId="12">
    <w:abstractNumId w:val="31"/>
  </w:num>
  <w:num w:numId="13">
    <w:abstractNumId w:val="18"/>
  </w:num>
  <w:num w:numId="14">
    <w:abstractNumId w:val="36"/>
  </w:num>
  <w:num w:numId="15">
    <w:abstractNumId w:val="22"/>
  </w:num>
  <w:num w:numId="16">
    <w:abstractNumId w:val="8"/>
  </w:num>
  <w:num w:numId="17">
    <w:abstractNumId w:val="16"/>
  </w:num>
  <w:num w:numId="18">
    <w:abstractNumId w:val="40"/>
  </w:num>
  <w:num w:numId="19">
    <w:abstractNumId w:val="43"/>
  </w:num>
  <w:num w:numId="20">
    <w:abstractNumId w:val="33"/>
  </w:num>
  <w:num w:numId="21">
    <w:abstractNumId w:val="12"/>
  </w:num>
  <w:num w:numId="22">
    <w:abstractNumId w:val="26"/>
  </w:num>
  <w:num w:numId="23">
    <w:abstractNumId w:val="14"/>
  </w:num>
  <w:num w:numId="24">
    <w:abstractNumId w:val="39"/>
  </w:num>
  <w:num w:numId="25">
    <w:abstractNumId w:val="5"/>
  </w:num>
  <w:num w:numId="26">
    <w:abstractNumId w:val="24"/>
  </w:num>
  <w:num w:numId="27">
    <w:abstractNumId w:val="42"/>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0"/>
  </w:num>
  <w:num w:numId="33">
    <w:abstractNumId w:val="38"/>
  </w:num>
  <w:num w:numId="34">
    <w:abstractNumId w:val="25"/>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5"/>
  </w:num>
  <w:num w:numId="43">
    <w:abstractNumId w:val="17"/>
  </w:num>
  <w:num w:numId="44">
    <w:abstractNumId w:val="3"/>
  </w:num>
  <w:num w:numId="45">
    <w:abstractNumId w:val="2"/>
  </w:num>
  <w:num w:numId="46">
    <w:abstractNumId w:val="11"/>
  </w:num>
  <w:num w:numId="47">
    <w:abstractNumId w:val="27"/>
  </w:num>
  <w:num w:numId="48">
    <w:abstractNumId w:val="28"/>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01E5"/>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4061"/>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87816"/>
    <w:rsid w:val="00D97E07"/>
    <w:rsid w:val="00DA6BD0"/>
    <w:rsid w:val="00DB507E"/>
    <w:rsid w:val="00DC09A4"/>
    <w:rsid w:val="00DE18AA"/>
    <w:rsid w:val="00DE3426"/>
    <w:rsid w:val="00DF65D5"/>
    <w:rsid w:val="00E435CD"/>
    <w:rsid w:val="00E47D10"/>
    <w:rsid w:val="00E50346"/>
    <w:rsid w:val="00E551D5"/>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0F7B"/>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AllExternalAdhocVariableMappings/>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VariableUsageMapping/>
</file>

<file path=customXml/item17.xml><?xml version="1.0" encoding="utf-8"?>
<DocPartTree/>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Definition name="AD_HOC" displayName="AD_HOC" id="9426ea6f-1b24-4683-bca3-85d71f6375fd" isdomainofvalue="False" dataSourceId="80be7e5f-6e71-448c-9228-23264555308c"/>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AllMetadata/>
</file>

<file path=customXml/item22.xml><?xml version="1.0" encoding="utf-8"?>
<SourceDataModel Name="System" TargetDataSourceId="00b80028-d226-4a39-9a19-6787589aad19"/>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VariableListDefinition name="System" displayName="System" id="dc9731b4-d0d2-4ed5-b20d-434d69de1706" isdomainofvalue="False" 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Computed" TargetDataSourceId="87651697-ca1f-4d80-9f69-bb743e325714"/>
</file>

<file path=customXml/item4.xml><?xml version="1.0" encoding="utf-8"?>
<SourceDataModel Name="AD_HOC" TargetDataSourceId="80be7e5f-6e71-448c-9228-23264555308c"/>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AllWordPDs>
</AllWordPDs>
</file>

<file path=customXml/item8.xml><?xml version="1.0" encoding="utf-8"?>
<VariableListDefinition name="Computed" displayName="Computed" id="69155e26-4760-488b-ab4c-bb15b0f8b2a2" isdomainofvalue="False" dataSourceId="87651697-ca1f-4d80-9f69-bb743e325714"/>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2C88FE63-64E8-4AEF-B1D3-D96C4AC32949}">
  <ds:schemaRefs>
    <ds:schemaRef ds:uri="http://schemas.openxmlformats.org/officeDocument/2006/bibliography"/>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42</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2020-04-06T19:29:00Z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